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E1F9" w14:textId="77777777" w:rsidR="00472D7D" w:rsidRPr="00924EC1" w:rsidRDefault="00472D7D" w:rsidP="00472D7D">
      <w:pPr>
        <w:jc w:val="center"/>
        <w:rPr>
          <w:b/>
          <w:bCs/>
          <w:sz w:val="28"/>
          <w:szCs w:val="28"/>
          <w:u w:val="single"/>
          <w:rtl/>
        </w:rPr>
      </w:pPr>
      <w:bookmarkStart w:id="0" w:name="_GoBack"/>
      <w:bookmarkEnd w:id="0"/>
      <w:r w:rsidRPr="00924EC1">
        <w:rPr>
          <w:b/>
          <w:bCs/>
          <w:sz w:val="28"/>
          <w:szCs w:val="28"/>
          <w:u w:val="single"/>
          <w:rtl/>
        </w:rPr>
        <w:t xml:space="preserve">זיכרון וזהות: </w:t>
      </w:r>
      <w:r>
        <w:rPr>
          <w:rFonts w:hint="cs"/>
          <w:b/>
          <w:bCs/>
          <w:sz w:val="28"/>
          <w:szCs w:val="28"/>
          <w:u w:val="single"/>
          <w:rtl/>
        </w:rPr>
        <w:t xml:space="preserve">המימד הפוליטי של </w:t>
      </w:r>
      <w:r w:rsidRPr="00924EC1">
        <w:rPr>
          <w:b/>
          <w:bCs/>
          <w:sz w:val="28"/>
          <w:szCs w:val="28"/>
          <w:u w:val="single"/>
          <w:rtl/>
        </w:rPr>
        <w:t>הנצחת זיכרון השואה בישראל</w:t>
      </w:r>
    </w:p>
    <w:p w14:paraId="0F58DE4F" w14:textId="77777777" w:rsidR="00472D7D" w:rsidRDefault="00472D7D" w:rsidP="00472D7D">
      <w:pPr>
        <w:jc w:val="center"/>
        <w:rPr>
          <w:sz w:val="28"/>
          <w:szCs w:val="28"/>
          <w:rtl/>
        </w:rPr>
      </w:pPr>
    </w:p>
    <w:p w14:paraId="5F552FCC" w14:textId="77777777" w:rsidR="00472D7D" w:rsidRDefault="00472D7D" w:rsidP="00472D7D">
      <w:pPr>
        <w:jc w:val="center"/>
        <w:rPr>
          <w:sz w:val="28"/>
          <w:szCs w:val="28"/>
          <w:rtl/>
        </w:rPr>
      </w:pPr>
      <w:r>
        <w:rPr>
          <w:rFonts w:hint="cs"/>
          <w:sz w:val="28"/>
          <w:szCs w:val="28"/>
          <w:rtl/>
        </w:rPr>
        <w:t>סמינר ב.א.</w:t>
      </w:r>
    </w:p>
    <w:p w14:paraId="6217A0AA" w14:textId="77777777" w:rsidR="00472D7D" w:rsidRDefault="00472D7D" w:rsidP="00472D7D">
      <w:pPr>
        <w:jc w:val="center"/>
        <w:rPr>
          <w:sz w:val="28"/>
          <w:szCs w:val="28"/>
          <w:rtl/>
        </w:rPr>
      </w:pPr>
      <w:r>
        <w:rPr>
          <w:rFonts w:hint="cs"/>
          <w:sz w:val="28"/>
          <w:szCs w:val="28"/>
          <w:rtl/>
        </w:rPr>
        <w:t>138-1-0129</w:t>
      </w:r>
    </w:p>
    <w:p w14:paraId="3F7B87C1" w14:textId="77777777" w:rsidR="00472D7D" w:rsidRDefault="00472D7D" w:rsidP="00472D7D">
      <w:pPr>
        <w:jc w:val="center"/>
        <w:rPr>
          <w:sz w:val="28"/>
          <w:szCs w:val="28"/>
          <w:rtl/>
        </w:rPr>
      </w:pPr>
      <w:r>
        <w:rPr>
          <w:rFonts w:hint="cs"/>
          <w:sz w:val="28"/>
          <w:szCs w:val="28"/>
          <w:rtl/>
        </w:rPr>
        <w:t>138-1-0139</w:t>
      </w:r>
    </w:p>
    <w:p w14:paraId="0113C378" w14:textId="77777777" w:rsidR="00472D7D" w:rsidRDefault="00472D7D" w:rsidP="00472D7D">
      <w:pPr>
        <w:jc w:val="center"/>
        <w:rPr>
          <w:sz w:val="28"/>
          <w:szCs w:val="28"/>
          <w:rtl/>
        </w:rPr>
      </w:pPr>
    </w:p>
    <w:p w14:paraId="6E3E8997" w14:textId="77777777" w:rsidR="00472D7D" w:rsidRPr="00415A22" w:rsidRDefault="00472D7D" w:rsidP="00472D7D">
      <w:pPr>
        <w:jc w:val="center"/>
        <w:rPr>
          <w:sz w:val="28"/>
          <w:szCs w:val="28"/>
          <w:rtl/>
        </w:rPr>
      </w:pPr>
      <w:r>
        <w:rPr>
          <w:rFonts w:hint="cs"/>
          <w:sz w:val="28"/>
          <w:szCs w:val="28"/>
          <w:rtl/>
        </w:rPr>
        <w:t>דר' בקי קוק</w:t>
      </w:r>
    </w:p>
    <w:p w14:paraId="70314C22" w14:textId="77777777" w:rsidR="00472D7D" w:rsidRPr="00415A22" w:rsidRDefault="00472D7D" w:rsidP="00472D7D">
      <w:pPr>
        <w:rPr>
          <w:sz w:val="28"/>
          <w:szCs w:val="28"/>
          <w:rtl/>
        </w:rPr>
      </w:pPr>
    </w:p>
    <w:p w14:paraId="2E42977C" w14:textId="77777777" w:rsidR="00472D7D" w:rsidRDefault="00472D7D" w:rsidP="00472D7D">
      <w:pPr>
        <w:rPr>
          <w:rtl/>
        </w:rPr>
      </w:pPr>
    </w:p>
    <w:p w14:paraId="4BBA2F83" w14:textId="77777777" w:rsidR="00472D7D" w:rsidRDefault="00472D7D" w:rsidP="00472D7D">
      <w:pPr>
        <w:ind w:firstLine="360"/>
        <w:rPr>
          <w:rtl/>
        </w:rPr>
      </w:pPr>
      <w:r>
        <w:rPr>
          <w:rFonts w:hint="cs"/>
          <w:rtl/>
        </w:rPr>
        <w:t xml:space="preserve">שואת יהדות אירופה מרכזית לזיכרון הישראלי הקולקטיבי. מיום היווסדה ישראל עסוקה בזיכרון השואה, ובניסיון לווסת ולתמרן בין ההתמודדויות השונות של החברה הישראלית - על גווניה וחלקיה הרבים - עם טראומה מרכזית זו. אין מימד בחיים הציבוריים </w:t>
      </w:r>
      <w:r>
        <w:rPr>
          <w:rtl/>
        </w:rPr>
        <w:t>–</w:t>
      </w:r>
      <w:r>
        <w:rPr>
          <w:rFonts w:hint="cs"/>
          <w:rtl/>
        </w:rPr>
        <w:t xml:space="preserve"> ואף גם הפרטיים </w:t>
      </w:r>
      <w:r>
        <w:rPr>
          <w:rtl/>
        </w:rPr>
        <w:t>–</w:t>
      </w:r>
      <w:r>
        <w:rPr>
          <w:rFonts w:hint="cs"/>
          <w:rtl/>
        </w:rPr>
        <w:t xml:space="preserve"> בישראל שאינו מושפע מאירוע זה, בין אם מדובר בחינוך, תרבות פוליטיקה ואפילו כלכלה. סמינר זה יעסוק במימד הפוליטי של זיכרון והנצחת השואה. </w:t>
      </w:r>
    </w:p>
    <w:p w14:paraId="40BD88A9" w14:textId="77777777" w:rsidR="00472D7D" w:rsidRDefault="00472D7D" w:rsidP="00472D7D">
      <w:pPr>
        <w:rPr>
          <w:rtl/>
        </w:rPr>
      </w:pPr>
    </w:p>
    <w:p w14:paraId="42308D97" w14:textId="77777777" w:rsidR="00472D7D" w:rsidRDefault="00472D7D" w:rsidP="00472D7D">
      <w:pPr>
        <w:ind w:firstLine="360"/>
        <w:rPr>
          <w:rtl/>
        </w:rPr>
      </w:pPr>
      <w:r>
        <w:rPr>
          <w:rFonts w:hint="cs"/>
          <w:rtl/>
        </w:rPr>
        <w:t>ישנן סוגיות רבות שיכולות להיכלל בדיון במימד זה ולא נעסוק כמובן בכולם. כמו כן, ניתן להעביר סמינרים רבים על הנצחת השואה בישראל ואף סמינר או מסגרת לא תהיה זהה למשנתה. סמינר זה מתמקד במימד הפוליטי של זיכרון השואה. ככזה, דגש יינתן למימדים הקונפליקטואליים של ההנצחה והזיכרון. במקביל, נעמוד על ההשפעה ההדדית בין המערכת הפוליטית-המפלגתית בישראל, ועיצוב הזיכרון הקולקטיבי שלה. נעסוק בהשפעה של התרבות הפוליטית בישראל על עיצוב זיכרון השואה והשפעת זיכרון השואה על תרבות זו.</w:t>
      </w:r>
    </w:p>
    <w:p w14:paraId="5BB4BDA9" w14:textId="77777777" w:rsidR="00472D7D" w:rsidRDefault="00472D7D" w:rsidP="00472D7D">
      <w:pPr>
        <w:ind w:firstLine="360"/>
        <w:rPr>
          <w:rtl/>
        </w:rPr>
      </w:pPr>
    </w:p>
    <w:p w14:paraId="3FDCD423" w14:textId="77777777" w:rsidR="00472D7D" w:rsidRDefault="00472D7D" w:rsidP="00472D7D">
      <w:pPr>
        <w:ind w:firstLine="360"/>
        <w:rPr>
          <w:rtl/>
        </w:rPr>
      </w:pPr>
      <w:r>
        <w:rPr>
          <w:rFonts w:hint="cs"/>
          <w:rtl/>
        </w:rPr>
        <w:t xml:space="preserve"> </w:t>
      </w:r>
    </w:p>
    <w:p w14:paraId="15C31118" w14:textId="77777777" w:rsidR="00472D7D" w:rsidRDefault="00472D7D" w:rsidP="00472D7D">
      <w:pPr>
        <w:rPr>
          <w:rtl/>
        </w:rPr>
      </w:pPr>
    </w:p>
    <w:p w14:paraId="7773790B" w14:textId="77777777" w:rsidR="00472D7D" w:rsidRPr="00324865" w:rsidRDefault="00472D7D" w:rsidP="00472D7D">
      <w:pPr>
        <w:rPr>
          <w:u w:val="single"/>
          <w:rtl/>
        </w:rPr>
      </w:pPr>
      <w:r w:rsidRPr="00324865">
        <w:rPr>
          <w:rFonts w:hint="cs"/>
          <w:u w:val="single"/>
          <w:rtl/>
        </w:rPr>
        <w:t>מסגרת והתנהלות הסמינר:</w:t>
      </w:r>
    </w:p>
    <w:p w14:paraId="23F78519" w14:textId="77777777" w:rsidR="00472D7D" w:rsidRDefault="00472D7D" w:rsidP="00472D7D">
      <w:pPr>
        <w:rPr>
          <w:rtl/>
        </w:rPr>
      </w:pPr>
    </w:p>
    <w:p w14:paraId="69B9CB59" w14:textId="0F725AD7" w:rsidR="00472D7D" w:rsidRDefault="00472D7D" w:rsidP="00472D7D">
      <w:pPr>
        <w:rPr>
          <w:rtl/>
        </w:rPr>
      </w:pPr>
      <w:r>
        <w:rPr>
          <w:rFonts w:hint="cs"/>
          <w:rtl/>
        </w:rPr>
        <w:t xml:space="preserve">במהלך הסמינר אנו נעסוק במספר נושאים עיקריים. </w:t>
      </w:r>
      <w:r w:rsidR="00846123">
        <w:rPr>
          <w:rFonts w:hint="cs"/>
          <w:rtl/>
        </w:rPr>
        <w:t xml:space="preserve">חובה לקרא את המאמרים לקראת כל דיון. במהלך הסמסטר הראשון כל תלמיד/ה יידרש/תידרש להגיש ששה חיבורים על מאמרי חובה (כעמוד אחד עם מספר שאלות לדיון.)  את החיבורים צריך לשלוח במייל לכל הסטודנטים בסמינר לכל היותר יום אחד לפני המפגש. </w:t>
      </w:r>
      <w:r>
        <w:rPr>
          <w:rFonts w:hint="cs"/>
          <w:rtl/>
        </w:rPr>
        <w:t xml:space="preserve"> </w:t>
      </w:r>
      <w:r w:rsidR="00846123">
        <w:rPr>
          <w:rFonts w:hint="cs"/>
          <w:rtl/>
        </w:rPr>
        <w:t xml:space="preserve">במהלך הסמסטר השני </w:t>
      </w:r>
      <w:r>
        <w:rPr>
          <w:rFonts w:hint="cs"/>
          <w:rtl/>
        </w:rPr>
        <w:t xml:space="preserve">נעבוד על עבודות הסמינר: במיפגשים כיתתיים וגם במיפגשים אישיים. </w:t>
      </w:r>
    </w:p>
    <w:p w14:paraId="17BB092D" w14:textId="77777777" w:rsidR="00472D7D" w:rsidRDefault="00472D7D" w:rsidP="00472D7D">
      <w:pPr>
        <w:rPr>
          <w:rtl/>
        </w:rPr>
      </w:pPr>
      <w:r>
        <w:rPr>
          <w:rFonts w:hint="cs"/>
          <w:rtl/>
        </w:rPr>
        <w:t>רוב הקריאה ימצא את דרכו להיי לרן...</w:t>
      </w:r>
    </w:p>
    <w:p w14:paraId="7D5BAFC7" w14:textId="77777777" w:rsidR="00472D7D" w:rsidRDefault="00472D7D" w:rsidP="00472D7D">
      <w:pPr>
        <w:rPr>
          <w:rtl/>
        </w:rPr>
      </w:pPr>
    </w:p>
    <w:p w14:paraId="41735A7B" w14:textId="77777777" w:rsidR="00472D7D" w:rsidRPr="00324865" w:rsidRDefault="00472D7D" w:rsidP="00472D7D">
      <w:pPr>
        <w:rPr>
          <w:u w:val="single"/>
          <w:rtl/>
        </w:rPr>
      </w:pPr>
      <w:r w:rsidRPr="00324865">
        <w:rPr>
          <w:rFonts w:hint="cs"/>
          <w:u w:val="single"/>
          <w:rtl/>
        </w:rPr>
        <w:t>חובות התלמידים:</w:t>
      </w:r>
    </w:p>
    <w:p w14:paraId="0162FDD3" w14:textId="77777777" w:rsidR="00472D7D" w:rsidRDefault="00472D7D" w:rsidP="00472D7D">
      <w:pPr>
        <w:rPr>
          <w:rtl/>
        </w:rPr>
      </w:pPr>
      <w:r>
        <w:rPr>
          <w:rFonts w:hint="cs"/>
          <w:rtl/>
        </w:rPr>
        <w:t xml:space="preserve">נוכחות חובה </w:t>
      </w:r>
    </w:p>
    <w:p w14:paraId="4DB032A9" w14:textId="77777777" w:rsidR="00472D7D" w:rsidRDefault="00472D7D" w:rsidP="00472D7D">
      <w:pPr>
        <w:rPr>
          <w:rtl/>
        </w:rPr>
      </w:pPr>
      <w:r>
        <w:rPr>
          <w:rFonts w:hint="cs"/>
          <w:rtl/>
        </w:rPr>
        <w:t>קריאה לקראת כל מיפגש ומיפגש</w:t>
      </w:r>
    </w:p>
    <w:p w14:paraId="3113A3F4" w14:textId="598583CF" w:rsidR="00846123" w:rsidRDefault="00846123" w:rsidP="00472D7D">
      <w:pPr>
        <w:rPr>
          <w:rtl/>
        </w:rPr>
      </w:pPr>
      <w:r>
        <w:rPr>
          <w:rFonts w:hint="cs"/>
          <w:rtl/>
        </w:rPr>
        <w:t>ששה חיבורים על מאמרי חובה</w:t>
      </w:r>
    </w:p>
    <w:p w14:paraId="0664A49B" w14:textId="77777777" w:rsidR="00472D7D" w:rsidRDefault="00472D7D" w:rsidP="00472D7D">
      <w:pPr>
        <w:rPr>
          <w:rtl/>
        </w:rPr>
      </w:pPr>
      <w:r>
        <w:rPr>
          <w:rFonts w:hint="cs"/>
          <w:rtl/>
        </w:rPr>
        <w:t>הגשת רפרט על עבודת המחקר בסמסטר השני</w:t>
      </w:r>
    </w:p>
    <w:p w14:paraId="5E0B909E" w14:textId="77777777" w:rsidR="00472D7D" w:rsidRDefault="00472D7D" w:rsidP="00472D7D">
      <w:pPr>
        <w:rPr>
          <w:rtl/>
        </w:rPr>
      </w:pPr>
      <w:r>
        <w:rPr>
          <w:rFonts w:hint="cs"/>
          <w:rtl/>
        </w:rPr>
        <w:t>כתיבת עבודה סמינריונית</w:t>
      </w:r>
    </w:p>
    <w:p w14:paraId="7CB7F415" w14:textId="77777777" w:rsidR="00472D7D" w:rsidRDefault="00472D7D" w:rsidP="00472D7D">
      <w:pPr>
        <w:rPr>
          <w:rtl/>
        </w:rPr>
      </w:pPr>
    </w:p>
    <w:p w14:paraId="381BBF0B" w14:textId="77777777" w:rsidR="00472D7D" w:rsidRDefault="00472D7D" w:rsidP="00472D7D">
      <w:pPr>
        <w:rPr>
          <w:rtl/>
        </w:rPr>
      </w:pPr>
    </w:p>
    <w:p w14:paraId="1B7CD4C0" w14:textId="77777777" w:rsidR="00472D7D" w:rsidRPr="00414F71" w:rsidRDefault="00472D7D" w:rsidP="00472D7D">
      <w:pPr>
        <w:jc w:val="center"/>
        <w:rPr>
          <w:b/>
          <w:bCs/>
          <w:sz w:val="28"/>
          <w:szCs w:val="28"/>
          <w:rtl/>
        </w:rPr>
      </w:pPr>
      <w:r w:rsidRPr="00414F71">
        <w:rPr>
          <w:rFonts w:hint="cs"/>
          <w:b/>
          <w:bCs/>
          <w:sz w:val="28"/>
          <w:szCs w:val="28"/>
          <w:rtl/>
        </w:rPr>
        <w:t xml:space="preserve">רשימת נושאים וקריאה </w:t>
      </w:r>
    </w:p>
    <w:p w14:paraId="1EFA95BB" w14:textId="77777777" w:rsidR="00472D7D" w:rsidRDefault="00472D7D" w:rsidP="00472D7D">
      <w:pPr>
        <w:rPr>
          <w:rtl/>
        </w:rPr>
      </w:pPr>
    </w:p>
    <w:p w14:paraId="0E4EE175" w14:textId="77777777" w:rsidR="00472D7D" w:rsidRDefault="00472D7D" w:rsidP="00472D7D">
      <w:pPr>
        <w:rPr>
          <w:rtl/>
        </w:rPr>
      </w:pPr>
    </w:p>
    <w:p w14:paraId="032BF3AA" w14:textId="77777777" w:rsidR="00472D7D" w:rsidRDefault="00472D7D" w:rsidP="00472D7D">
      <w:pPr>
        <w:rPr>
          <w:b/>
          <w:bCs/>
          <w:u w:val="single"/>
          <w:rtl/>
        </w:rPr>
      </w:pPr>
      <w:r w:rsidRPr="00B97877">
        <w:rPr>
          <w:rFonts w:hint="cs"/>
          <w:b/>
          <w:bCs/>
          <w:u w:val="single"/>
          <w:rtl/>
        </w:rPr>
        <w:t xml:space="preserve">נושא ראשון: זיכרון, הנצחה ופוליטיקה </w:t>
      </w:r>
      <w:r w:rsidRPr="00B97877">
        <w:rPr>
          <w:b/>
          <w:bCs/>
          <w:u w:val="single"/>
          <w:rtl/>
        </w:rPr>
        <w:t>–</w:t>
      </w:r>
      <w:r w:rsidRPr="00B97877">
        <w:rPr>
          <w:rFonts w:hint="cs"/>
          <w:b/>
          <w:bCs/>
          <w:u w:val="single"/>
          <w:rtl/>
        </w:rPr>
        <w:t xml:space="preserve"> מושגים בסיסיים ושאלות מרכזיות</w:t>
      </w:r>
    </w:p>
    <w:p w14:paraId="482F700A" w14:textId="77777777" w:rsidR="00472D7D" w:rsidRDefault="00472D7D" w:rsidP="00472D7D">
      <w:pPr>
        <w:rPr>
          <w:b/>
          <w:bCs/>
          <w:u w:val="single"/>
          <w:rtl/>
        </w:rPr>
      </w:pPr>
    </w:p>
    <w:p w14:paraId="5EE9FAB6" w14:textId="77777777" w:rsidR="00472D7D" w:rsidRPr="00361DCC" w:rsidRDefault="00472D7D" w:rsidP="00472D7D">
      <w:pPr>
        <w:rPr>
          <w:b/>
          <w:bCs/>
          <w:rtl/>
        </w:rPr>
      </w:pPr>
      <w:r>
        <w:rPr>
          <w:rFonts w:hint="cs"/>
          <w:b/>
          <w:bCs/>
          <w:rtl/>
        </w:rPr>
        <w:t xml:space="preserve">במיפגשים הראשונים אנו נדון בתאוריות של זיכרון קולקטיבי ונעמוד על כמה שאלות מרכזיות: מהו זיכרון קולקטיבי, וכיצד ניתן לחשוב על היחס בין זיכרון קולקטיבי וזיכרון אישי. מה ההבדל בין היסטוריה וזיכרון ומהם הגישות </w:t>
      </w:r>
      <w:r w:rsidR="008562DE">
        <w:rPr>
          <w:rFonts w:hint="cs"/>
          <w:b/>
          <w:bCs/>
          <w:rtl/>
        </w:rPr>
        <w:t>התאורתיות השונות שמנסות להבין</w:t>
      </w:r>
      <w:r>
        <w:rPr>
          <w:rFonts w:hint="cs"/>
          <w:b/>
          <w:bCs/>
          <w:rtl/>
        </w:rPr>
        <w:t xml:space="preserve"> הבדל זה. האם ישנו זיכרון </w:t>
      </w:r>
      <w:r>
        <w:rPr>
          <w:rFonts w:hint="cs"/>
          <w:b/>
          <w:bCs/>
          <w:rtl/>
        </w:rPr>
        <w:lastRenderedPageBreak/>
        <w:t xml:space="preserve">קולקטיבי אחד, וכיצד ניתן לחשוב על קונפליקט בזיכרון הקולקטיבי. מהו תפקידו של זיכרון כזה ומהו היחס בין המימדים הפוליטיים, התרבותיים והחברתיים בעיצוב של זיכרון קולקטיבי או משותף. לבסוף נדון קצת בקשר בין הדיון ההולך ומתרחב בקשר בין מושג הזיכרון ובין השואה. </w:t>
      </w:r>
    </w:p>
    <w:p w14:paraId="5144091C" w14:textId="77777777" w:rsidR="00472D7D" w:rsidRDefault="00472D7D" w:rsidP="00472D7D">
      <w:pPr>
        <w:rPr>
          <w:rtl/>
        </w:rPr>
      </w:pPr>
    </w:p>
    <w:p w14:paraId="3A1E4DB7" w14:textId="77777777" w:rsidR="00472D7D" w:rsidRDefault="00472D7D" w:rsidP="00472D7D">
      <w:pPr>
        <w:rPr>
          <w:rtl/>
        </w:rPr>
      </w:pPr>
      <w:r>
        <w:rPr>
          <w:rFonts w:hint="cs"/>
          <w:rtl/>
        </w:rPr>
        <w:t>קריאת חובה לשני המיפגשים הראשונים:</w:t>
      </w:r>
    </w:p>
    <w:p w14:paraId="37983774" w14:textId="77777777" w:rsidR="00472D7D" w:rsidRDefault="00472D7D" w:rsidP="00472D7D">
      <w:pPr>
        <w:bidi w:val="0"/>
      </w:pPr>
    </w:p>
    <w:p w14:paraId="65942C0A" w14:textId="77777777" w:rsidR="00472D7D" w:rsidRPr="00DC6263" w:rsidRDefault="00472D7D" w:rsidP="00472D7D">
      <w:pPr>
        <w:bidi w:val="0"/>
        <w:rPr>
          <w:rFonts w:asciiTheme="minorHAnsi" w:hAnsiTheme="minorHAnsi"/>
        </w:rPr>
      </w:pPr>
      <w:proofErr w:type="gramStart"/>
      <w:r w:rsidRPr="00DC6263">
        <w:rPr>
          <w:rFonts w:asciiTheme="minorHAnsi" w:hAnsiTheme="minorHAnsi"/>
        </w:rPr>
        <w:t xml:space="preserve">Maurice </w:t>
      </w:r>
      <w:proofErr w:type="spellStart"/>
      <w:r w:rsidRPr="00DC6263">
        <w:rPr>
          <w:rFonts w:asciiTheme="minorHAnsi" w:hAnsiTheme="minorHAnsi"/>
        </w:rPr>
        <w:t>Halbwachs</w:t>
      </w:r>
      <w:proofErr w:type="spellEnd"/>
      <w:r w:rsidRPr="00DC6263">
        <w:rPr>
          <w:rFonts w:asciiTheme="minorHAnsi" w:hAnsiTheme="minorHAnsi"/>
        </w:rPr>
        <w:t>, "Historical Memory and Collective Memory," chapter 2.</w:t>
      </w:r>
      <w:proofErr w:type="gramEnd"/>
    </w:p>
    <w:p w14:paraId="006A5FBE" w14:textId="77777777" w:rsidR="00472D7D" w:rsidRPr="00DC6263" w:rsidRDefault="00472D7D" w:rsidP="00472D7D">
      <w:pPr>
        <w:bidi w:val="0"/>
        <w:rPr>
          <w:rFonts w:asciiTheme="minorHAnsi" w:hAnsiTheme="minorHAnsi"/>
        </w:rPr>
      </w:pPr>
    </w:p>
    <w:p w14:paraId="78691453" w14:textId="77777777" w:rsidR="00C3735E" w:rsidRPr="00DC6263" w:rsidRDefault="00C3735E" w:rsidP="00C3735E">
      <w:pPr>
        <w:bidi w:val="0"/>
        <w:jc w:val="both"/>
        <w:rPr>
          <w:rFonts w:asciiTheme="minorHAnsi" w:hAnsiTheme="minorHAnsi"/>
          <w:color w:val="666666"/>
        </w:rPr>
      </w:pPr>
      <w:r w:rsidRPr="00DC6263">
        <w:rPr>
          <w:rFonts w:asciiTheme="minorHAnsi" w:hAnsiTheme="minorHAnsi"/>
          <w:color w:val="666666"/>
        </w:rPr>
        <w:t xml:space="preserve">Pierre Nora, "Between Memory and History: </w:t>
      </w:r>
      <w:r w:rsidRPr="00DC6263">
        <w:rPr>
          <w:rFonts w:asciiTheme="minorHAnsi" w:hAnsiTheme="minorHAnsi"/>
          <w:i/>
          <w:iCs/>
          <w:color w:val="666666"/>
        </w:rPr>
        <w:t xml:space="preserve">Les </w:t>
      </w:r>
      <w:proofErr w:type="spellStart"/>
      <w:r w:rsidRPr="00DC6263">
        <w:rPr>
          <w:rFonts w:asciiTheme="minorHAnsi" w:hAnsiTheme="minorHAnsi"/>
          <w:i/>
          <w:iCs/>
          <w:color w:val="666666"/>
        </w:rPr>
        <w:t>Lieux</w:t>
      </w:r>
      <w:proofErr w:type="spellEnd"/>
      <w:r w:rsidRPr="00DC6263">
        <w:rPr>
          <w:rFonts w:asciiTheme="minorHAnsi" w:hAnsiTheme="minorHAnsi"/>
          <w:i/>
          <w:iCs/>
          <w:color w:val="666666"/>
        </w:rPr>
        <w:t xml:space="preserve"> de </w:t>
      </w:r>
      <w:proofErr w:type="spellStart"/>
      <w:r w:rsidRPr="00DC6263">
        <w:rPr>
          <w:rFonts w:asciiTheme="minorHAnsi" w:hAnsiTheme="minorHAnsi"/>
          <w:i/>
          <w:iCs/>
          <w:color w:val="666666"/>
        </w:rPr>
        <w:t>Mémoire</w:t>
      </w:r>
      <w:proofErr w:type="spellEnd"/>
      <w:r w:rsidRPr="00DC6263">
        <w:rPr>
          <w:rFonts w:asciiTheme="minorHAnsi" w:hAnsiTheme="minorHAnsi"/>
          <w:color w:val="666666"/>
        </w:rPr>
        <w:t xml:space="preserve">" (trans. Marc </w:t>
      </w:r>
      <w:proofErr w:type="spellStart"/>
      <w:r w:rsidRPr="00DC6263">
        <w:rPr>
          <w:rFonts w:asciiTheme="minorHAnsi" w:hAnsiTheme="minorHAnsi"/>
          <w:color w:val="666666"/>
        </w:rPr>
        <w:t>Roudebush</w:t>
      </w:r>
      <w:proofErr w:type="spellEnd"/>
      <w:r w:rsidRPr="00DC6263">
        <w:rPr>
          <w:rFonts w:asciiTheme="minorHAnsi" w:hAnsiTheme="minorHAnsi"/>
          <w:color w:val="666666"/>
        </w:rPr>
        <w:t xml:space="preserve">), </w:t>
      </w:r>
      <w:proofErr w:type="gramStart"/>
      <w:r w:rsidRPr="00DC6263">
        <w:rPr>
          <w:rFonts w:asciiTheme="minorHAnsi" w:hAnsiTheme="minorHAnsi"/>
          <w:color w:val="666666"/>
        </w:rPr>
        <w:t>Spring</w:t>
      </w:r>
      <w:proofErr w:type="gramEnd"/>
      <w:r w:rsidRPr="00DC6263">
        <w:rPr>
          <w:rFonts w:asciiTheme="minorHAnsi" w:hAnsiTheme="minorHAnsi"/>
          <w:color w:val="666666"/>
        </w:rPr>
        <w:t xml:space="preserve"> 1989, 26: 7-25</w:t>
      </w:r>
    </w:p>
    <w:p w14:paraId="723DBED8" w14:textId="77777777" w:rsidR="00C3735E" w:rsidRPr="00DC6263" w:rsidRDefault="00887FF9" w:rsidP="00C3735E">
      <w:pPr>
        <w:bidi w:val="0"/>
        <w:rPr>
          <w:rFonts w:asciiTheme="minorHAnsi" w:hAnsiTheme="minorHAnsi"/>
          <w:color w:val="666666"/>
        </w:rPr>
      </w:pPr>
      <w:hyperlink r:id="rId5" w:history="1">
        <w:r w:rsidR="00C3735E" w:rsidRPr="00DC6263">
          <w:rPr>
            <w:rStyle w:val="Hyperlink"/>
            <w:rFonts w:asciiTheme="minorHAnsi" w:hAnsiTheme="minorHAnsi"/>
          </w:rPr>
          <w:t>http://www.jstor.org/stable/pdfplus/2928520.pdf</w:t>
        </w:r>
      </w:hyperlink>
    </w:p>
    <w:p w14:paraId="6EDB89BF" w14:textId="77777777" w:rsidR="00C3735E" w:rsidRPr="00DC6263" w:rsidRDefault="00C3735E" w:rsidP="00472D7D">
      <w:pPr>
        <w:bidi w:val="0"/>
        <w:rPr>
          <w:rFonts w:asciiTheme="minorHAnsi" w:hAnsiTheme="minorHAnsi"/>
        </w:rPr>
      </w:pPr>
    </w:p>
    <w:p w14:paraId="77404A23" w14:textId="2024D445" w:rsidR="00C3735E" w:rsidRPr="00DC6263" w:rsidRDefault="00DC6263" w:rsidP="00DC6263">
      <w:pPr>
        <w:bidi w:val="0"/>
        <w:rPr>
          <w:rFonts w:asciiTheme="minorHAnsi" w:hAnsiTheme="minorHAnsi"/>
        </w:rPr>
      </w:pPr>
      <w:r w:rsidRPr="00DC6263">
        <w:rPr>
          <w:rFonts w:asciiTheme="minorHAnsi" w:hAnsiTheme="minorHAnsi"/>
        </w:rPr>
        <w:t xml:space="preserve">Charles S. Maier,” A Surfeit of Memory? Reflections on History, Melancholy and </w:t>
      </w:r>
      <w:proofErr w:type="spellStart"/>
      <w:r w:rsidRPr="00DC6263">
        <w:rPr>
          <w:rFonts w:asciiTheme="minorHAnsi" w:hAnsiTheme="minorHAnsi"/>
        </w:rPr>
        <w:t>Denia</w:t>
      </w:r>
      <w:proofErr w:type="spellEnd"/>
      <w:r w:rsidRPr="00DC6263">
        <w:rPr>
          <w:rFonts w:asciiTheme="minorHAnsi" w:hAnsiTheme="minorHAnsi"/>
        </w:rPr>
        <w:t>,</w:t>
      </w:r>
      <w:proofErr w:type="gramStart"/>
      <w:r w:rsidRPr="00DC6263">
        <w:rPr>
          <w:rFonts w:asciiTheme="minorHAnsi" w:hAnsiTheme="minorHAnsi"/>
        </w:rPr>
        <w:t>”  History</w:t>
      </w:r>
      <w:proofErr w:type="gramEnd"/>
      <w:r w:rsidRPr="00DC6263">
        <w:rPr>
          <w:rFonts w:asciiTheme="minorHAnsi" w:hAnsiTheme="minorHAnsi"/>
        </w:rPr>
        <w:t xml:space="preserve"> and Memory, Vol. 5, No. 2 (Fall - Winter, 1993), pp. 136-152</w:t>
      </w:r>
    </w:p>
    <w:p w14:paraId="5E4C3340" w14:textId="77777777" w:rsidR="00DC6263" w:rsidRPr="00DC6263" w:rsidRDefault="00DC6263" w:rsidP="00DC6263">
      <w:pPr>
        <w:bidi w:val="0"/>
        <w:rPr>
          <w:rFonts w:asciiTheme="minorHAnsi" w:hAnsiTheme="minorHAnsi"/>
        </w:rPr>
      </w:pPr>
    </w:p>
    <w:p w14:paraId="0BE7A2EA" w14:textId="77777777" w:rsidR="00472D7D" w:rsidRPr="00DC6263" w:rsidRDefault="00472D7D" w:rsidP="00472D7D">
      <w:pPr>
        <w:bidi w:val="0"/>
        <w:rPr>
          <w:rFonts w:asciiTheme="minorHAnsi" w:hAnsiTheme="minorHAnsi"/>
        </w:rPr>
      </w:pPr>
      <w:proofErr w:type="spellStart"/>
      <w:r w:rsidRPr="00DC6263">
        <w:rPr>
          <w:rFonts w:asciiTheme="minorHAnsi" w:hAnsiTheme="minorHAnsi"/>
        </w:rPr>
        <w:t>Alon</w:t>
      </w:r>
      <w:proofErr w:type="spellEnd"/>
      <w:r w:rsidRPr="00DC6263">
        <w:rPr>
          <w:rFonts w:asciiTheme="minorHAnsi" w:hAnsiTheme="minorHAnsi"/>
        </w:rPr>
        <w:t xml:space="preserve"> </w:t>
      </w:r>
      <w:proofErr w:type="spellStart"/>
      <w:r w:rsidRPr="00DC6263">
        <w:rPr>
          <w:rFonts w:asciiTheme="minorHAnsi" w:hAnsiTheme="minorHAnsi"/>
        </w:rPr>
        <w:t>Confino</w:t>
      </w:r>
      <w:proofErr w:type="spellEnd"/>
      <w:r w:rsidRPr="00DC6263">
        <w:rPr>
          <w:rFonts w:asciiTheme="minorHAnsi" w:hAnsiTheme="minorHAnsi"/>
        </w:rPr>
        <w:t xml:space="preserve">, "Collective Memory and Cultural History: Problems of Method," </w:t>
      </w:r>
      <w:r w:rsidRPr="00DC6263">
        <w:rPr>
          <w:rFonts w:asciiTheme="minorHAnsi" w:hAnsiTheme="minorHAnsi"/>
          <w:i/>
          <w:iCs/>
        </w:rPr>
        <w:t>American Historical Association,</w:t>
      </w:r>
      <w:r w:rsidRPr="00DC6263">
        <w:rPr>
          <w:rFonts w:asciiTheme="minorHAnsi" w:hAnsiTheme="minorHAnsi"/>
        </w:rPr>
        <w:t xml:space="preserve"> Vol. 102, No. 5 (Dec. 1997): 1386-1403</w:t>
      </w:r>
    </w:p>
    <w:p w14:paraId="5061A8E6" w14:textId="77777777" w:rsidR="00472D7D" w:rsidRPr="00DC6263" w:rsidRDefault="00472D7D" w:rsidP="00472D7D">
      <w:pPr>
        <w:bidi w:val="0"/>
        <w:rPr>
          <w:rFonts w:asciiTheme="minorHAnsi" w:hAnsiTheme="minorHAnsi"/>
        </w:rPr>
      </w:pPr>
    </w:p>
    <w:p w14:paraId="4D99663E" w14:textId="77777777" w:rsidR="00472D7D" w:rsidRPr="00DC6263" w:rsidRDefault="00472D7D" w:rsidP="00472D7D">
      <w:pPr>
        <w:bidi w:val="0"/>
        <w:rPr>
          <w:rFonts w:asciiTheme="minorHAnsi" w:hAnsiTheme="minorHAnsi"/>
        </w:rPr>
      </w:pPr>
      <w:r w:rsidRPr="00DC6263">
        <w:rPr>
          <w:rFonts w:asciiTheme="minorHAnsi" w:hAnsiTheme="minorHAnsi"/>
        </w:rPr>
        <w:t xml:space="preserve">Dominick </w:t>
      </w:r>
      <w:proofErr w:type="spellStart"/>
      <w:r w:rsidRPr="00DC6263">
        <w:rPr>
          <w:rFonts w:asciiTheme="minorHAnsi" w:hAnsiTheme="minorHAnsi"/>
        </w:rPr>
        <w:t>LaCapra</w:t>
      </w:r>
      <w:proofErr w:type="spellEnd"/>
      <w:r w:rsidRPr="00DC6263">
        <w:rPr>
          <w:rFonts w:asciiTheme="minorHAnsi" w:hAnsiTheme="minorHAnsi"/>
        </w:rPr>
        <w:t xml:space="preserve">, </w:t>
      </w:r>
      <w:r w:rsidRPr="00DC6263">
        <w:rPr>
          <w:rFonts w:asciiTheme="minorHAnsi" w:hAnsiTheme="minorHAnsi"/>
          <w:u w:val="single"/>
        </w:rPr>
        <w:t>History and Memory after Auschwitz</w:t>
      </w:r>
      <w:r w:rsidRPr="00DC6263">
        <w:rPr>
          <w:rFonts w:asciiTheme="minorHAnsi" w:hAnsiTheme="minorHAnsi"/>
        </w:rPr>
        <w:t xml:space="preserve">, pp. 8-23. </w:t>
      </w:r>
    </w:p>
    <w:p w14:paraId="10F44339" w14:textId="77777777" w:rsidR="00472D7D" w:rsidRDefault="00472D7D" w:rsidP="00472D7D">
      <w:pPr>
        <w:rPr>
          <w:rtl/>
        </w:rPr>
      </w:pPr>
    </w:p>
    <w:p w14:paraId="05C3AE5D" w14:textId="77777777" w:rsidR="00472D7D" w:rsidRDefault="00472D7D" w:rsidP="00472D7D">
      <w:pPr>
        <w:rPr>
          <w:rtl/>
        </w:rPr>
      </w:pPr>
      <w:r>
        <w:rPr>
          <w:rFonts w:hint="cs"/>
          <w:rtl/>
        </w:rPr>
        <w:t>רשימה ביבליוגרפית חלקית ביותר שכוללת כמה מאמרים מעניינים על זיכרון קולקטיבי:</w:t>
      </w:r>
    </w:p>
    <w:p w14:paraId="3F04D24B" w14:textId="77777777" w:rsidR="00472D7D" w:rsidRPr="00DC6263" w:rsidRDefault="00472D7D" w:rsidP="00472D7D">
      <w:pPr>
        <w:rPr>
          <w:rFonts w:asciiTheme="minorHAnsi" w:hAnsiTheme="minorHAnsi"/>
          <w:rtl/>
        </w:rPr>
      </w:pPr>
    </w:p>
    <w:p w14:paraId="37045D0A" w14:textId="77777777" w:rsidR="00472D7D" w:rsidRPr="00DC6263" w:rsidRDefault="00472D7D" w:rsidP="00472D7D">
      <w:pPr>
        <w:bidi w:val="0"/>
        <w:rPr>
          <w:rFonts w:asciiTheme="minorHAnsi" w:hAnsiTheme="minorHAnsi"/>
        </w:rPr>
      </w:pPr>
      <w:r w:rsidRPr="00DC6263">
        <w:rPr>
          <w:rFonts w:asciiTheme="minorHAnsi" w:hAnsiTheme="minorHAnsi"/>
        </w:rPr>
        <w:t xml:space="preserve">Wolf </w:t>
      </w:r>
      <w:proofErr w:type="spellStart"/>
      <w:r w:rsidRPr="00DC6263">
        <w:rPr>
          <w:rFonts w:asciiTheme="minorHAnsi" w:hAnsiTheme="minorHAnsi"/>
        </w:rPr>
        <w:t>Kansteiner</w:t>
      </w:r>
      <w:proofErr w:type="spellEnd"/>
      <w:r w:rsidRPr="00DC6263">
        <w:rPr>
          <w:rFonts w:asciiTheme="minorHAnsi" w:hAnsiTheme="minorHAnsi"/>
        </w:rPr>
        <w:t xml:space="preserve">, "Finding Meaning in Memory: A methodological Critique of Collective Memory Studies," </w:t>
      </w:r>
      <w:r w:rsidRPr="00DC6263">
        <w:rPr>
          <w:rFonts w:asciiTheme="minorHAnsi" w:hAnsiTheme="minorHAnsi"/>
          <w:i/>
          <w:iCs/>
        </w:rPr>
        <w:t>History and Theory</w:t>
      </w:r>
      <w:r w:rsidRPr="00DC6263">
        <w:rPr>
          <w:rFonts w:asciiTheme="minorHAnsi" w:hAnsiTheme="minorHAnsi"/>
        </w:rPr>
        <w:t xml:space="preserve"> 41 (May 2002), 179-197</w:t>
      </w:r>
    </w:p>
    <w:p w14:paraId="3D7221A6" w14:textId="77777777" w:rsidR="00472D7D" w:rsidRPr="00DC6263" w:rsidRDefault="00472D7D" w:rsidP="00472D7D">
      <w:pPr>
        <w:bidi w:val="0"/>
        <w:rPr>
          <w:rFonts w:asciiTheme="minorHAnsi" w:hAnsiTheme="minorHAnsi"/>
        </w:rPr>
      </w:pPr>
    </w:p>
    <w:p w14:paraId="5E81AF0D" w14:textId="77777777" w:rsidR="00472D7D" w:rsidRPr="00DC6263" w:rsidRDefault="00472D7D" w:rsidP="00472D7D">
      <w:pPr>
        <w:bidi w:val="0"/>
        <w:rPr>
          <w:rFonts w:asciiTheme="minorHAnsi" w:hAnsiTheme="minorHAnsi"/>
        </w:rPr>
      </w:pPr>
      <w:r w:rsidRPr="00DC6263">
        <w:rPr>
          <w:rFonts w:asciiTheme="minorHAnsi" w:hAnsiTheme="minorHAnsi"/>
        </w:rPr>
        <w:t xml:space="preserve">Jeffrey K. </w:t>
      </w:r>
      <w:proofErr w:type="spellStart"/>
      <w:r w:rsidRPr="00DC6263">
        <w:rPr>
          <w:rFonts w:asciiTheme="minorHAnsi" w:hAnsiTheme="minorHAnsi"/>
        </w:rPr>
        <w:t>Olick</w:t>
      </w:r>
      <w:proofErr w:type="spellEnd"/>
      <w:r w:rsidRPr="00DC6263">
        <w:rPr>
          <w:rFonts w:asciiTheme="minorHAnsi" w:hAnsiTheme="minorHAnsi"/>
        </w:rPr>
        <w:t xml:space="preserve"> and Joyce Robbins, "Social Memory Studies: From "Collective Memory" to the Historical Sociology of Mnemonic Practices," </w:t>
      </w:r>
      <w:r w:rsidRPr="00DC6263">
        <w:rPr>
          <w:rFonts w:asciiTheme="minorHAnsi" w:hAnsiTheme="minorHAnsi"/>
          <w:i/>
          <w:iCs/>
        </w:rPr>
        <w:t>Annual |Review of Sociology</w:t>
      </w:r>
      <w:r w:rsidRPr="00DC6263">
        <w:rPr>
          <w:rFonts w:asciiTheme="minorHAnsi" w:hAnsiTheme="minorHAnsi"/>
        </w:rPr>
        <w:t xml:space="preserve"> 1998. 24:105-40.</w:t>
      </w:r>
    </w:p>
    <w:p w14:paraId="30256615" w14:textId="77777777" w:rsidR="00472D7D" w:rsidRPr="00DC6263" w:rsidRDefault="00472D7D" w:rsidP="00472D7D">
      <w:pPr>
        <w:bidi w:val="0"/>
        <w:rPr>
          <w:rFonts w:asciiTheme="minorHAnsi" w:hAnsiTheme="minorHAnsi"/>
        </w:rPr>
      </w:pPr>
    </w:p>
    <w:p w14:paraId="25C9FDBC" w14:textId="77777777" w:rsidR="00472D7D" w:rsidRPr="00DC6263" w:rsidRDefault="00472D7D" w:rsidP="00472D7D">
      <w:pPr>
        <w:bidi w:val="0"/>
        <w:rPr>
          <w:rFonts w:asciiTheme="minorHAnsi" w:hAnsiTheme="minorHAnsi"/>
        </w:rPr>
      </w:pPr>
    </w:p>
    <w:p w14:paraId="5117E16C" w14:textId="77777777" w:rsidR="00472D7D" w:rsidRPr="00DC6263" w:rsidRDefault="00472D7D" w:rsidP="00472D7D">
      <w:pPr>
        <w:bidi w:val="0"/>
        <w:rPr>
          <w:rFonts w:asciiTheme="minorHAnsi" w:hAnsiTheme="minorHAnsi"/>
        </w:rPr>
      </w:pPr>
      <w:r w:rsidRPr="00DC6263">
        <w:rPr>
          <w:rFonts w:asciiTheme="minorHAnsi" w:hAnsiTheme="minorHAnsi"/>
        </w:rPr>
        <w:t xml:space="preserve">James E. Young, </w:t>
      </w:r>
      <w:r w:rsidRPr="00DC6263">
        <w:rPr>
          <w:rFonts w:asciiTheme="minorHAnsi" w:hAnsiTheme="minorHAnsi"/>
          <w:u w:val="single"/>
        </w:rPr>
        <w:t>Writing and Rewriting the Holocaust; Narrative and the Consequences of Interpretation</w:t>
      </w:r>
      <w:r w:rsidRPr="00DC6263">
        <w:rPr>
          <w:rFonts w:asciiTheme="minorHAnsi" w:hAnsiTheme="minorHAnsi"/>
        </w:rPr>
        <w:t>, Introduction, pp. 1-15.</w:t>
      </w:r>
    </w:p>
    <w:p w14:paraId="1C2FDB0E" w14:textId="77777777" w:rsidR="00472D7D" w:rsidRPr="00DC6263" w:rsidRDefault="00472D7D" w:rsidP="00472D7D">
      <w:pPr>
        <w:bidi w:val="0"/>
        <w:rPr>
          <w:rFonts w:asciiTheme="minorHAnsi" w:hAnsiTheme="minorHAnsi"/>
        </w:rPr>
      </w:pPr>
    </w:p>
    <w:p w14:paraId="72F3745C" w14:textId="77777777" w:rsidR="00472D7D" w:rsidRPr="00DC6263" w:rsidRDefault="00472D7D" w:rsidP="00472D7D">
      <w:pPr>
        <w:bidi w:val="0"/>
        <w:rPr>
          <w:rFonts w:asciiTheme="minorHAnsi" w:hAnsiTheme="minorHAnsi"/>
        </w:rPr>
      </w:pPr>
    </w:p>
    <w:p w14:paraId="00C3EA2F" w14:textId="77777777" w:rsidR="00472D7D" w:rsidRPr="00DC6263" w:rsidRDefault="00472D7D" w:rsidP="00472D7D">
      <w:pPr>
        <w:bidi w:val="0"/>
        <w:rPr>
          <w:rFonts w:asciiTheme="minorHAnsi" w:hAnsiTheme="minorHAnsi"/>
        </w:rPr>
      </w:pPr>
      <w:proofErr w:type="spellStart"/>
      <w:r w:rsidRPr="00DC6263">
        <w:rPr>
          <w:rFonts w:asciiTheme="minorHAnsi" w:hAnsiTheme="minorHAnsi"/>
        </w:rPr>
        <w:t>Kerwin</w:t>
      </w:r>
      <w:proofErr w:type="spellEnd"/>
      <w:r w:rsidRPr="00DC6263">
        <w:rPr>
          <w:rFonts w:asciiTheme="minorHAnsi" w:hAnsiTheme="minorHAnsi"/>
        </w:rPr>
        <w:t xml:space="preserve"> Lee Klein, "On the Emergence of </w:t>
      </w:r>
      <w:r w:rsidRPr="00DC6263">
        <w:rPr>
          <w:rFonts w:asciiTheme="minorHAnsi" w:hAnsiTheme="minorHAnsi"/>
          <w:i/>
          <w:iCs/>
        </w:rPr>
        <w:t>Memory</w:t>
      </w:r>
      <w:r w:rsidRPr="00DC6263">
        <w:rPr>
          <w:rFonts w:asciiTheme="minorHAnsi" w:hAnsiTheme="minorHAnsi"/>
        </w:rPr>
        <w:t xml:space="preserve"> in Historical Discourse," </w:t>
      </w:r>
      <w:r w:rsidRPr="00DC6263">
        <w:rPr>
          <w:rFonts w:asciiTheme="minorHAnsi" w:hAnsiTheme="minorHAnsi"/>
          <w:i/>
          <w:iCs/>
        </w:rPr>
        <w:t>Representations</w:t>
      </w:r>
      <w:r w:rsidRPr="00DC6263">
        <w:rPr>
          <w:rFonts w:asciiTheme="minorHAnsi" w:hAnsiTheme="minorHAnsi"/>
        </w:rPr>
        <w:t xml:space="preserve"> 69, Winter 2000, 127-150.</w:t>
      </w:r>
    </w:p>
    <w:p w14:paraId="1D15EBD4" w14:textId="77777777" w:rsidR="00472D7D" w:rsidRPr="00DC6263" w:rsidRDefault="00472D7D" w:rsidP="00472D7D">
      <w:pPr>
        <w:bidi w:val="0"/>
        <w:rPr>
          <w:rFonts w:asciiTheme="minorHAnsi" w:hAnsiTheme="minorHAnsi"/>
          <w:rtl/>
        </w:rPr>
      </w:pPr>
      <w:r w:rsidRPr="00DC6263">
        <w:rPr>
          <w:rFonts w:asciiTheme="minorHAnsi" w:hAnsiTheme="minorHAnsi"/>
          <w:rtl/>
        </w:rPr>
        <w:tab/>
      </w:r>
    </w:p>
    <w:p w14:paraId="6D04F7A2" w14:textId="77777777" w:rsidR="00472D7D" w:rsidRPr="00DC6263" w:rsidRDefault="00472D7D" w:rsidP="00472D7D">
      <w:pPr>
        <w:rPr>
          <w:rFonts w:asciiTheme="minorHAnsi" w:hAnsiTheme="minorHAnsi"/>
          <w:rtl/>
        </w:rPr>
      </w:pPr>
    </w:p>
    <w:p w14:paraId="729CF6F6" w14:textId="77777777" w:rsidR="00472D7D" w:rsidRPr="00DC6263" w:rsidRDefault="00472D7D" w:rsidP="00472D7D">
      <w:pPr>
        <w:bidi w:val="0"/>
        <w:rPr>
          <w:rFonts w:asciiTheme="minorHAnsi" w:hAnsiTheme="minorHAnsi"/>
        </w:rPr>
      </w:pPr>
      <w:r w:rsidRPr="00DC6263">
        <w:rPr>
          <w:rFonts w:asciiTheme="minorHAnsi" w:hAnsiTheme="minorHAnsi"/>
        </w:rPr>
        <w:t xml:space="preserve">Barry Schwartz, "The Social Context of Commemoration: A Study in Collective Memory," </w:t>
      </w:r>
      <w:r w:rsidRPr="00DC6263">
        <w:rPr>
          <w:rFonts w:asciiTheme="minorHAnsi" w:hAnsiTheme="minorHAnsi"/>
          <w:u w:val="single"/>
        </w:rPr>
        <w:t>Social Forces</w:t>
      </w:r>
      <w:r w:rsidRPr="00DC6263">
        <w:rPr>
          <w:rFonts w:asciiTheme="minorHAnsi" w:hAnsiTheme="minorHAnsi"/>
        </w:rPr>
        <w:t xml:space="preserve"> vol. 61, no. 2 (Dec. 1982): 374-402</w:t>
      </w:r>
    </w:p>
    <w:p w14:paraId="0ABB37FA" w14:textId="77777777" w:rsidR="00472D7D" w:rsidRPr="00DC6263" w:rsidRDefault="00472D7D" w:rsidP="00472D7D">
      <w:pPr>
        <w:bidi w:val="0"/>
        <w:rPr>
          <w:rFonts w:asciiTheme="minorHAnsi" w:hAnsiTheme="minorHAnsi"/>
        </w:rPr>
      </w:pPr>
    </w:p>
    <w:p w14:paraId="57DEB4FF" w14:textId="15065536" w:rsidR="00472D7D" w:rsidRDefault="00472D7D" w:rsidP="000F3CE1">
      <w:pPr>
        <w:bidi w:val="0"/>
        <w:rPr>
          <w:rtl/>
        </w:rPr>
      </w:pPr>
      <w:r w:rsidRPr="0097421B">
        <w:rPr>
          <w:color w:val="666666"/>
        </w:rPr>
        <w:t>.</w:t>
      </w:r>
      <w:r>
        <w:rPr>
          <w:rFonts w:hint="cs"/>
          <w:rtl/>
        </w:rPr>
        <w:t xml:space="preserve"> </w:t>
      </w:r>
    </w:p>
    <w:p w14:paraId="47AB8AC2" w14:textId="77777777" w:rsidR="00472D7D" w:rsidRPr="005B094D" w:rsidRDefault="00472D7D" w:rsidP="00472D7D">
      <w:pPr>
        <w:bidi w:val="0"/>
        <w:rPr>
          <w:u w:val="single"/>
        </w:rPr>
      </w:pPr>
    </w:p>
    <w:p w14:paraId="1AF70387" w14:textId="1123DE51" w:rsidR="00472D7D" w:rsidRDefault="00472D7D" w:rsidP="00472D7D">
      <w:pPr>
        <w:rPr>
          <w:b/>
          <w:bCs/>
          <w:u w:val="single"/>
          <w:rtl/>
        </w:rPr>
      </w:pPr>
      <w:r>
        <w:rPr>
          <w:rFonts w:hint="cs"/>
          <w:b/>
          <w:bCs/>
          <w:u w:val="single"/>
          <w:rtl/>
        </w:rPr>
        <w:t>נושא ש</w:t>
      </w:r>
      <w:r w:rsidR="000F3CE1">
        <w:rPr>
          <w:rFonts w:hint="cs"/>
          <w:b/>
          <w:bCs/>
          <w:u w:val="single"/>
          <w:rtl/>
        </w:rPr>
        <w:t>ני</w:t>
      </w:r>
      <w:r>
        <w:rPr>
          <w:rFonts w:hint="cs"/>
          <w:b/>
          <w:bCs/>
          <w:u w:val="single"/>
          <w:rtl/>
        </w:rPr>
        <w:t>: צעדים ראשונים להנצחה רישמית של השואה: יום הזיכרון לשואה ולגבורה והקמת יד ושם</w:t>
      </w:r>
    </w:p>
    <w:p w14:paraId="114F1DB9" w14:textId="77777777" w:rsidR="00472D7D" w:rsidRDefault="00472D7D" w:rsidP="00472D7D">
      <w:pPr>
        <w:pStyle w:val="a3"/>
        <w:rPr>
          <w:sz w:val="24"/>
          <w:szCs w:val="24"/>
          <w:rtl/>
          <w:lang w:val="en-US"/>
        </w:rPr>
      </w:pPr>
    </w:p>
    <w:p w14:paraId="23340738" w14:textId="77777777" w:rsidR="00472D7D" w:rsidRDefault="00472D7D" w:rsidP="00472D7D">
      <w:pPr>
        <w:rPr>
          <w:rtl/>
        </w:rPr>
      </w:pPr>
    </w:p>
    <w:p w14:paraId="1E05ADFC" w14:textId="77777777" w:rsidR="00472D7D" w:rsidRDefault="00472D7D" w:rsidP="00472D7D">
      <w:pPr>
        <w:bidi w:val="0"/>
      </w:pPr>
      <w:r>
        <w:lastRenderedPageBreak/>
        <w:t xml:space="preserve">James Young, "When a Day Remembers: A </w:t>
      </w:r>
      <w:proofErr w:type="spellStart"/>
      <w:r>
        <w:t>Performative</w:t>
      </w:r>
      <w:proofErr w:type="spellEnd"/>
      <w:r>
        <w:t xml:space="preserve"> History of Yom </w:t>
      </w:r>
      <w:proofErr w:type="spellStart"/>
      <w:r>
        <w:t>Hashoah</w:t>
      </w:r>
      <w:proofErr w:type="spellEnd"/>
      <w:r>
        <w:t xml:space="preserve">," in James E. Young, </w:t>
      </w:r>
      <w:r>
        <w:rPr>
          <w:u w:val="single"/>
        </w:rPr>
        <w:t>The Texture of Memory: Holocaust Memorials and Meaning</w:t>
      </w:r>
      <w:r>
        <w:t>, pp. 263-283.</w:t>
      </w:r>
    </w:p>
    <w:p w14:paraId="5AF070B1" w14:textId="77777777" w:rsidR="00472D7D" w:rsidRDefault="00472D7D" w:rsidP="00472D7D">
      <w:pPr>
        <w:bidi w:val="0"/>
      </w:pPr>
    </w:p>
    <w:p w14:paraId="55200F77" w14:textId="77777777" w:rsidR="00472D7D" w:rsidRPr="00D53D2F" w:rsidRDefault="00472D7D" w:rsidP="00472D7D">
      <w:pPr>
        <w:bidi w:val="0"/>
      </w:pPr>
      <w:r>
        <w:t xml:space="preserve">James Young, </w:t>
      </w:r>
      <w:r>
        <w:rPr>
          <w:u w:val="single"/>
        </w:rPr>
        <w:t>The Texture of Memory</w:t>
      </w:r>
      <w:r>
        <w:t>, introduction and chapter 9.</w:t>
      </w:r>
    </w:p>
    <w:p w14:paraId="49FE27EA" w14:textId="77777777" w:rsidR="00472D7D" w:rsidRPr="004C349B" w:rsidRDefault="00472D7D" w:rsidP="00472D7D">
      <w:pPr>
        <w:bidi w:val="0"/>
      </w:pPr>
    </w:p>
    <w:p w14:paraId="364E1420" w14:textId="77777777" w:rsidR="00472D7D" w:rsidRDefault="00472D7D" w:rsidP="00472D7D">
      <w:pPr>
        <w:rPr>
          <w:rtl/>
        </w:rPr>
      </w:pPr>
      <w:r>
        <w:rPr>
          <w:rFonts w:hint="cs"/>
          <w:rtl/>
        </w:rPr>
        <w:t xml:space="preserve">רוני שטאובר, </w:t>
      </w:r>
      <w:r>
        <w:rPr>
          <w:rFonts w:hint="cs"/>
          <w:u w:val="single"/>
          <w:rtl/>
        </w:rPr>
        <w:t>הלקח לדור:שואה וגבורה במחשבה הציבורית בארץ בשנות החמישים</w:t>
      </w:r>
      <w:r>
        <w:rPr>
          <w:rFonts w:hint="cs"/>
          <w:rtl/>
        </w:rPr>
        <w:t>, הוצאת יד יצחק בן צבי, ירושלים, 2000, ע"מ 37-96, 135-157.  כל החלק הזה מעניין וחשוב, אבל אם בכל זאת אין לכם זמן תתמקדו בעיקר בע"מ 48-96.</w:t>
      </w:r>
    </w:p>
    <w:p w14:paraId="6C66DA7A" w14:textId="77777777" w:rsidR="00472D7D" w:rsidRDefault="00472D7D" w:rsidP="00472D7D">
      <w:pPr>
        <w:rPr>
          <w:rtl/>
        </w:rPr>
      </w:pPr>
    </w:p>
    <w:p w14:paraId="40D865C5" w14:textId="77777777" w:rsidR="00472D7D" w:rsidRDefault="00472D7D" w:rsidP="00472D7D">
      <w:pPr>
        <w:pStyle w:val="a3"/>
        <w:rPr>
          <w:sz w:val="24"/>
          <w:szCs w:val="24"/>
          <w:rtl/>
          <w:lang w:val="en-US"/>
        </w:rPr>
      </w:pPr>
      <w:r>
        <w:rPr>
          <w:rFonts w:hint="cs"/>
          <w:sz w:val="24"/>
          <w:szCs w:val="24"/>
          <w:rtl/>
          <w:lang w:val="en-US"/>
        </w:rPr>
        <w:t xml:space="preserve">רוני שטאובר, "הויכוח בשנות החמישים בין הציונות הדתית לבין השמאל הציוני על מועד יום הזיכרון לשואה," מתוך אניטה שפירא, </w:t>
      </w:r>
      <w:r>
        <w:rPr>
          <w:rFonts w:hint="cs"/>
          <w:sz w:val="24"/>
          <w:szCs w:val="24"/>
          <w:u w:val="single"/>
          <w:rtl/>
          <w:lang w:val="en-US"/>
        </w:rPr>
        <w:t>מדינה בדרך: החברה הישראלית בעשורים הראשונים</w:t>
      </w:r>
      <w:r>
        <w:rPr>
          <w:rFonts w:hint="cs"/>
          <w:sz w:val="24"/>
          <w:szCs w:val="24"/>
          <w:rtl/>
          <w:lang w:val="en-US"/>
        </w:rPr>
        <w:t xml:space="preserve">.  </w:t>
      </w:r>
    </w:p>
    <w:p w14:paraId="48C4FC53" w14:textId="77777777" w:rsidR="00472D7D" w:rsidRDefault="00472D7D" w:rsidP="00472D7D">
      <w:pPr>
        <w:pStyle w:val="a3"/>
        <w:rPr>
          <w:sz w:val="24"/>
          <w:szCs w:val="24"/>
          <w:rtl/>
          <w:lang w:val="en-US"/>
        </w:rPr>
      </w:pPr>
    </w:p>
    <w:p w14:paraId="4810DA1D" w14:textId="77777777" w:rsidR="00472D7D" w:rsidRDefault="00472D7D" w:rsidP="00472D7D">
      <w:pPr>
        <w:pStyle w:val="a3"/>
        <w:rPr>
          <w:sz w:val="24"/>
          <w:szCs w:val="24"/>
          <w:rtl/>
          <w:lang w:val="en-US"/>
        </w:rPr>
      </w:pPr>
      <w:r>
        <w:rPr>
          <w:rFonts w:hint="cs"/>
          <w:sz w:val="24"/>
          <w:szCs w:val="24"/>
          <w:u w:val="single"/>
          <w:rtl/>
          <w:lang w:val="en-US"/>
        </w:rPr>
        <w:t>דיונים בכנסת</w:t>
      </w:r>
      <w:r>
        <w:rPr>
          <w:rFonts w:hint="cs"/>
          <w:sz w:val="24"/>
          <w:szCs w:val="24"/>
          <w:rtl/>
          <w:lang w:val="en-US"/>
        </w:rPr>
        <w:t xml:space="preserve">: </w:t>
      </w:r>
      <w:r w:rsidRPr="0095626D">
        <w:rPr>
          <w:rFonts w:hint="cs"/>
          <w:sz w:val="24"/>
          <w:szCs w:val="24"/>
          <w:rtl/>
          <w:lang w:val="en-US"/>
        </w:rPr>
        <w:t xml:space="preserve">חוק לעשיית דין בנאצים ובעוזריהם, תש"י </w:t>
      </w:r>
      <w:r w:rsidRPr="0095626D">
        <w:rPr>
          <w:sz w:val="24"/>
          <w:szCs w:val="24"/>
          <w:rtl/>
          <w:lang w:val="en-US"/>
        </w:rPr>
        <w:t>–</w:t>
      </w:r>
      <w:r w:rsidRPr="0095626D">
        <w:rPr>
          <w:rFonts w:hint="cs"/>
          <w:sz w:val="24"/>
          <w:szCs w:val="24"/>
          <w:rtl/>
          <w:lang w:val="en-US"/>
        </w:rPr>
        <w:t xml:space="preserve"> 1950 ; חוק זכרון השואה והגבורה </w:t>
      </w:r>
      <w:r w:rsidRPr="0095626D">
        <w:rPr>
          <w:sz w:val="24"/>
          <w:szCs w:val="24"/>
          <w:rtl/>
          <w:lang w:val="en-US"/>
        </w:rPr>
        <w:t>–</w:t>
      </w:r>
      <w:r w:rsidRPr="0095626D">
        <w:rPr>
          <w:rFonts w:hint="cs"/>
          <w:sz w:val="24"/>
          <w:szCs w:val="24"/>
          <w:rtl/>
          <w:lang w:val="en-US"/>
        </w:rPr>
        <w:t xml:space="preserve"> יד ושם     , תשי"ג </w:t>
      </w:r>
      <w:r w:rsidRPr="0095626D">
        <w:rPr>
          <w:sz w:val="24"/>
          <w:szCs w:val="24"/>
          <w:rtl/>
          <w:lang w:val="en-US"/>
        </w:rPr>
        <w:t>–</w:t>
      </w:r>
      <w:r w:rsidRPr="0095626D">
        <w:rPr>
          <w:rFonts w:hint="cs"/>
          <w:sz w:val="24"/>
          <w:szCs w:val="24"/>
          <w:rtl/>
          <w:lang w:val="en-US"/>
        </w:rPr>
        <w:t xml:space="preserve"> 1953; חוק יום הזכרון לשואה ולגבורה, תשי"ט </w:t>
      </w:r>
      <w:r w:rsidRPr="0095626D">
        <w:rPr>
          <w:sz w:val="24"/>
          <w:szCs w:val="24"/>
          <w:rtl/>
          <w:lang w:val="en-US"/>
        </w:rPr>
        <w:t>–</w:t>
      </w:r>
      <w:r w:rsidRPr="0095626D">
        <w:rPr>
          <w:rFonts w:hint="cs"/>
          <w:sz w:val="24"/>
          <w:szCs w:val="24"/>
          <w:rtl/>
          <w:lang w:val="en-US"/>
        </w:rPr>
        <w:t xml:space="preserve"> 1959</w:t>
      </w:r>
    </w:p>
    <w:p w14:paraId="51581901" w14:textId="77777777" w:rsidR="00995962" w:rsidRDefault="00995962" w:rsidP="00472D7D">
      <w:pPr>
        <w:pStyle w:val="a3"/>
        <w:rPr>
          <w:sz w:val="24"/>
          <w:szCs w:val="24"/>
          <w:rtl/>
          <w:lang w:val="en-US"/>
        </w:rPr>
      </w:pPr>
    </w:p>
    <w:p w14:paraId="48ECA9BF" w14:textId="0A6B45DA" w:rsidR="00D96952" w:rsidRPr="00D96952" w:rsidRDefault="00887FF9" w:rsidP="00D96952">
      <w:pPr>
        <w:widowControl w:val="0"/>
        <w:autoSpaceDE w:val="0"/>
        <w:autoSpaceDN w:val="0"/>
        <w:bidi w:val="0"/>
        <w:adjustRightInd w:val="0"/>
        <w:rPr>
          <w:rFonts w:asciiTheme="minorHAnsi" w:eastAsiaTheme="minorHAnsi" w:hAnsiTheme="minorHAnsi" w:cs="Verdana"/>
          <w:lang w:bidi="ar-SA"/>
        </w:rPr>
      </w:pPr>
      <w:hyperlink r:id="rId6" w:history="1">
        <w:r w:rsidR="00D96952" w:rsidRPr="00D96952">
          <w:rPr>
            <w:rFonts w:asciiTheme="minorHAnsi" w:eastAsiaTheme="minorHAnsi" w:hAnsiTheme="minorHAnsi" w:cs="Verdana"/>
            <w:color w:val="0F2E70"/>
            <w:lang w:bidi="ar-SA"/>
          </w:rPr>
          <w:t>D. Stone</w:t>
        </w:r>
      </w:hyperlink>
      <w:r w:rsidR="00D96952" w:rsidRPr="00D96952">
        <w:rPr>
          <w:rFonts w:asciiTheme="minorHAnsi" w:eastAsiaTheme="minorHAnsi" w:hAnsiTheme="minorHAnsi" w:cs="Verdana"/>
          <w:lang w:bidi="ar-SA"/>
        </w:rPr>
        <w:t xml:space="preserve"> , “</w:t>
      </w:r>
      <w:r w:rsidR="00995962" w:rsidRPr="00D96952">
        <w:rPr>
          <w:rFonts w:asciiTheme="minorHAnsi" w:eastAsiaTheme="minorHAnsi" w:hAnsiTheme="minorHAnsi" w:cs="Trebuchet MS"/>
          <w:b/>
          <w:bCs/>
          <w:color w:val="373737"/>
          <w:lang w:bidi="ar-SA"/>
        </w:rPr>
        <w:t>Day of Remembrance or Day of Forgetting? Or, Why Britain Does Not Need a Holocaust Memorial Day</w:t>
      </w:r>
      <w:r w:rsidR="00D96952" w:rsidRPr="00D96952">
        <w:rPr>
          <w:rFonts w:asciiTheme="minorHAnsi" w:eastAsiaTheme="minorHAnsi" w:hAnsiTheme="minorHAnsi" w:cs="Trebuchet MS"/>
          <w:b/>
          <w:bCs/>
          <w:color w:val="373737"/>
          <w:lang w:bidi="ar-SA"/>
        </w:rPr>
        <w:t>,” Patterns of Prejudice</w:t>
      </w:r>
    </w:p>
    <w:p w14:paraId="498C5BD5" w14:textId="5DD67FB9" w:rsidR="00472D7D" w:rsidRPr="00495A1A" w:rsidRDefault="00887FF9" w:rsidP="00495A1A">
      <w:pPr>
        <w:widowControl w:val="0"/>
        <w:autoSpaceDE w:val="0"/>
        <w:autoSpaceDN w:val="0"/>
        <w:bidi w:val="0"/>
        <w:adjustRightInd w:val="0"/>
        <w:spacing w:after="360"/>
        <w:rPr>
          <w:rFonts w:asciiTheme="minorHAnsi" w:eastAsiaTheme="minorHAnsi" w:hAnsiTheme="minorHAnsi" w:cs="Trebuchet MS"/>
          <w:b/>
          <w:bCs/>
          <w:color w:val="373737"/>
          <w:rtl/>
        </w:rPr>
      </w:pPr>
      <w:hyperlink r:id="rId7" w:anchor="vol_34" w:history="1">
        <w:r w:rsidR="00D96952" w:rsidRPr="00D96952">
          <w:rPr>
            <w:rFonts w:asciiTheme="minorHAnsi" w:eastAsiaTheme="minorHAnsi" w:hAnsiTheme="minorHAnsi" w:cs="Trebuchet MS"/>
            <w:b/>
            <w:bCs/>
            <w:color w:val="0F2E70"/>
            <w:lang w:bidi="ar-SA"/>
          </w:rPr>
          <w:t>Volume 34</w:t>
        </w:r>
      </w:hyperlink>
      <w:r w:rsidR="00D96952" w:rsidRPr="00D96952">
        <w:rPr>
          <w:rFonts w:asciiTheme="minorHAnsi" w:eastAsiaTheme="minorHAnsi" w:hAnsiTheme="minorHAnsi" w:cs="Trebuchet MS"/>
          <w:b/>
          <w:bCs/>
          <w:color w:val="373737"/>
          <w:lang w:bidi="ar-SA"/>
        </w:rPr>
        <w:t xml:space="preserve">, </w:t>
      </w:r>
      <w:hyperlink r:id="rId8" w:history="1">
        <w:r w:rsidR="00D96952" w:rsidRPr="00D96952">
          <w:rPr>
            <w:rFonts w:asciiTheme="minorHAnsi" w:eastAsiaTheme="minorHAnsi" w:hAnsiTheme="minorHAnsi" w:cs="Trebuchet MS"/>
            <w:b/>
            <w:bCs/>
            <w:color w:val="0F2E70"/>
            <w:lang w:bidi="ar-SA"/>
          </w:rPr>
          <w:t>Issue 4</w:t>
        </w:r>
      </w:hyperlink>
      <w:r w:rsidR="00D96952" w:rsidRPr="00D96952">
        <w:rPr>
          <w:rFonts w:asciiTheme="minorHAnsi" w:eastAsiaTheme="minorHAnsi" w:hAnsiTheme="minorHAnsi" w:cs="Trebuchet MS"/>
          <w:b/>
          <w:bCs/>
          <w:color w:val="373737"/>
          <w:lang w:bidi="ar-SA"/>
        </w:rPr>
        <w:t>, 2000 53-59</w:t>
      </w:r>
    </w:p>
    <w:p w14:paraId="28ABD74B" w14:textId="77777777" w:rsidR="00472D7D" w:rsidRDefault="00472D7D" w:rsidP="00472D7D">
      <w:pPr>
        <w:bidi w:val="0"/>
      </w:pPr>
    </w:p>
    <w:p w14:paraId="636F14B6" w14:textId="77777777" w:rsidR="00472D7D" w:rsidRPr="00682A31" w:rsidRDefault="00472D7D" w:rsidP="00472D7D">
      <w:pPr>
        <w:bidi w:val="0"/>
      </w:pPr>
    </w:p>
    <w:p w14:paraId="377A7A5C" w14:textId="56157812" w:rsidR="00472D7D" w:rsidRDefault="00472D7D" w:rsidP="00472D7D">
      <w:pPr>
        <w:rPr>
          <w:b/>
          <w:bCs/>
          <w:u w:val="single"/>
          <w:rtl/>
        </w:rPr>
      </w:pPr>
      <w:r>
        <w:rPr>
          <w:rFonts w:hint="cs"/>
          <w:b/>
          <w:bCs/>
          <w:u w:val="single"/>
          <w:rtl/>
        </w:rPr>
        <w:t xml:space="preserve">נושא </w:t>
      </w:r>
      <w:r w:rsidR="000F3CE1">
        <w:rPr>
          <w:rFonts w:hint="cs"/>
          <w:b/>
          <w:bCs/>
          <w:u w:val="single"/>
          <w:rtl/>
        </w:rPr>
        <w:t>שלישי</w:t>
      </w:r>
      <w:r>
        <w:rPr>
          <w:rFonts w:hint="cs"/>
          <w:b/>
          <w:bCs/>
          <w:u w:val="single"/>
          <w:rtl/>
        </w:rPr>
        <w:t xml:space="preserve">: משפט קסטנר </w:t>
      </w:r>
      <w:r>
        <w:rPr>
          <w:b/>
          <w:bCs/>
          <w:u w:val="single"/>
          <w:rtl/>
        </w:rPr>
        <w:t>–</w:t>
      </w:r>
      <w:r>
        <w:rPr>
          <w:rFonts w:hint="cs"/>
          <w:b/>
          <w:bCs/>
          <w:u w:val="single"/>
          <w:rtl/>
        </w:rPr>
        <w:t xml:space="preserve"> שינויים ותמורות בערך הגבורה בזיכרון של השואה </w:t>
      </w:r>
    </w:p>
    <w:p w14:paraId="70B4F901" w14:textId="77777777" w:rsidR="00472D7D" w:rsidRDefault="00472D7D" w:rsidP="00472D7D">
      <w:pPr>
        <w:rPr>
          <w:b/>
          <w:bCs/>
          <w:u w:val="single"/>
          <w:rtl/>
        </w:rPr>
      </w:pPr>
    </w:p>
    <w:p w14:paraId="69C1968B" w14:textId="77777777" w:rsidR="00472D7D" w:rsidRDefault="00472D7D" w:rsidP="00472D7D">
      <w:pPr>
        <w:rPr>
          <w:rtl/>
        </w:rPr>
      </w:pPr>
      <w:r>
        <w:rPr>
          <w:rFonts w:hint="cs"/>
          <w:rtl/>
        </w:rPr>
        <w:t xml:space="preserve">תום שגב, </w:t>
      </w:r>
      <w:r>
        <w:rPr>
          <w:rFonts w:hint="cs"/>
          <w:u w:val="single"/>
          <w:rtl/>
        </w:rPr>
        <w:t>המיליון השביעי; הישראלים והשואה</w:t>
      </w:r>
      <w:r>
        <w:rPr>
          <w:rFonts w:hint="cs"/>
          <w:rtl/>
        </w:rPr>
        <w:t>, ע"מ 237-280.</w:t>
      </w:r>
    </w:p>
    <w:p w14:paraId="42B94403" w14:textId="77777777" w:rsidR="00472D7D" w:rsidRDefault="00472D7D" w:rsidP="00472D7D">
      <w:pPr>
        <w:rPr>
          <w:rtl/>
        </w:rPr>
      </w:pPr>
    </w:p>
    <w:p w14:paraId="5873080C" w14:textId="77777777" w:rsidR="00472D7D" w:rsidRDefault="00472D7D" w:rsidP="00472D7D">
      <w:pPr>
        <w:rPr>
          <w:rtl/>
        </w:rPr>
      </w:pPr>
      <w:r>
        <w:rPr>
          <w:rFonts w:hint="cs"/>
          <w:rtl/>
        </w:rPr>
        <w:t xml:space="preserve">דן לאור, "חנה סנש וישראל קסטנר; דימוי ודימוי שכנגד," </w:t>
      </w:r>
      <w:r>
        <w:rPr>
          <w:rFonts w:hint="cs"/>
          <w:u w:val="single"/>
          <w:rtl/>
        </w:rPr>
        <w:t>בשביל הזיכרון</w:t>
      </w:r>
      <w:r>
        <w:rPr>
          <w:rFonts w:hint="cs"/>
          <w:rtl/>
        </w:rPr>
        <w:t>, גיליון 20 1997, ע"מ 10-18.</w:t>
      </w:r>
    </w:p>
    <w:p w14:paraId="50088FD9" w14:textId="77777777" w:rsidR="00472D7D" w:rsidRDefault="00472D7D" w:rsidP="00472D7D">
      <w:pPr>
        <w:rPr>
          <w:rtl/>
        </w:rPr>
      </w:pPr>
    </w:p>
    <w:p w14:paraId="7383495A" w14:textId="77777777" w:rsidR="00472D7D" w:rsidRDefault="00472D7D" w:rsidP="00472D7D">
      <w:pPr>
        <w:rPr>
          <w:rtl/>
        </w:rPr>
      </w:pPr>
      <w:r>
        <w:rPr>
          <w:rFonts w:hint="cs"/>
          <w:rtl/>
        </w:rPr>
        <w:t xml:space="preserve">דליה עופר, "משפט קסטנר ודימויה של השואה בתודעה הישראלית," </w:t>
      </w:r>
      <w:r>
        <w:rPr>
          <w:rFonts w:hint="cs"/>
          <w:u w:val="single"/>
          <w:rtl/>
        </w:rPr>
        <w:t>קתדרה</w:t>
      </w:r>
      <w:r>
        <w:rPr>
          <w:rFonts w:hint="cs"/>
          <w:rtl/>
        </w:rPr>
        <w:t xml:space="preserve">, ספטמבר 1993. </w:t>
      </w:r>
    </w:p>
    <w:p w14:paraId="0EA1F384" w14:textId="77777777" w:rsidR="00472D7D" w:rsidRDefault="00472D7D" w:rsidP="00472D7D">
      <w:pPr>
        <w:spacing w:before="100" w:beforeAutospacing="1" w:after="100" w:afterAutospacing="1"/>
        <w:ind w:right="360"/>
        <w:rPr>
          <w:rtl/>
        </w:rPr>
      </w:pPr>
      <w:r>
        <w:rPr>
          <w:rFonts w:hint="cs"/>
          <w:rtl/>
        </w:rPr>
        <w:t xml:space="preserve">רוני שטאובר, "הוויכוח הפוליטי על משפט קסטנר על פי העיתונות המפלגתית," </w:t>
      </w:r>
      <w:r>
        <w:rPr>
          <w:rFonts w:hint="cs"/>
          <w:u w:val="single"/>
          <w:rtl/>
        </w:rPr>
        <w:t>ציונות</w:t>
      </w:r>
      <w:r>
        <w:rPr>
          <w:rFonts w:hint="cs"/>
          <w:rtl/>
        </w:rPr>
        <w:t xml:space="preserve"> מאסף י"ג, 1988.  </w:t>
      </w:r>
    </w:p>
    <w:p w14:paraId="7607BF21" w14:textId="77777777" w:rsidR="00472D7D" w:rsidRPr="00244103" w:rsidRDefault="00472D7D" w:rsidP="00472D7D">
      <w:pPr>
        <w:rPr>
          <w:rtl/>
        </w:rPr>
      </w:pPr>
      <w:r>
        <w:rPr>
          <w:rFonts w:hint="cs"/>
          <w:u w:val="single"/>
          <w:rtl/>
        </w:rPr>
        <w:t>קריאה נוספת</w:t>
      </w:r>
    </w:p>
    <w:p w14:paraId="223C4D53" w14:textId="77777777" w:rsidR="00472D7D" w:rsidRPr="00244103" w:rsidRDefault="00472D7D" w:rsidP="00472D7D">
      <w:pPr>
        <w:rPr>
          <w:rtl/>
        </w:rPr>
      </w:pPr>
      <w:r>
        <w:rPr>
          <w:rFonts w:hint="cs"/>
          <w:rtl/>
        </w:rPr>
        <w:t xml:space="preserve"> </w:t>
      </w:r>
    </w:p>
    <w:p w14:paraId="7E6F3833" w14:textId="77777777" w:rsidR="00472D7D" w:rsidRDefault="00472D7D" w:rsidP="00472D7D">
      <w:pPr>
        <w:rPr>
          <w:rtl/>
        </w:rPr>
      </w:pPr>
      <w:r>
        <w:rPr>
          <w:rFonts w:hint="cs"/>
          <w:rtl/>
        </w:rPr>
        <w:t>הלינק לאתר גינזח המדינה וראות פרוטוקולים מהמשפט</w:t>
      </w:r>
    </w:p>
    <w:p w14:paraId="0BCBEE92" w14:textId="77777777" w:rsidR="00472D7D" w:rsidRPr="00565C89" w:rsidRDefault="00472D7D" w:rsidP="00472D7D">
      <w:pPr>
        <w:rPr>
          <w:b/>
          <w:bCs/>
          <w:u w:val="single"/>
          <w:rtl/>
        </w:rPr>
      </w:pPr>
      <w:r w:rsidRPr="00565C89">
        <w:rPr>
          <w:b/>
          <w:bCs/>
          <w:u w:val="single"/>
        </w:rPr>
        <w:t>http://www.archives.gov.il/ArchiveGov/ArchiveNavigation.aspx?ID=30.0.50</w:t>
      </w:r>
    </w:p>
    <w:p w14:paraId="298C1C33" w14:textId="77777777" w:rsidR="00472D7D" w:rsidRDefault="00472D7D" w:rsidP="00472D7D">
      <w:pPr>
        <w:rPr>
          <w:rtl/>
        </w:rPr>
      </w:pPr>
    </w:p>
    <w:p w14:paraId="7F229D1A" w14:textId="77777777" w:rsidR="00472D7D" w:rsidRDefault="00472D7D" w:rsidP="00472D7D">
      <w:pPr>
        <w:rPr>
          <w:rtl/>
        </w:rPr>
      </w:pPr>
      <w:r>
        <w:rPr>
          <w:rFonts w:hint="cs"/>
          <w:rtl/>
        </w:rPr>
        <w:t xml:space="preserve">נתן אלתרמן, "שתי דרכים," (1 יולי 1955) "טיב האשמה," "נימת הדיון," </w:t>
      </w:r>
      <w:r>
        <w:rPr>
          <w:rFonts w:hint="cs"/>
          <w:u w:val="single"/>
          <w:rtl/>
        </w:rPr>
        <w:t>הטור השביעי</w:t>
      </w:r>
      <w:r>
        <w:rPr>
          <w:rFonts w:hint="cs"/>
          <w:rtl/>
        </w:rPr>
        <w:t xml:space="preserve"> </w:t>
      </w:r>
      <w:r w:rsidRPr="00FC23B3">
        <w:rPr>
          <w:rtl/>
        </w:rPr>
        <w:t>ספר שני (תשל"ב), עמ' 421־423</w:t>
      </w:r>
      <w:r w:rsidRPr="00FC23B3">
        <w:t>.</w:t>
      </w:r>
      <w:r>
        <w:rPr>
          <w:rFonts w:hint="cs"/>
          <w:rtl/>
        </w:rPr>
        <w:t xml:space="preserve"> </w:t>
      </w:r>
    </w:p>
    <w:p w14:paraId="6DF1E0B5" w14:textId="77777777" w:rsidR="00472D7D" w:rsidRDefault="00472D7D" w:rsidP="00472D7D">
      <w:pPr>
        <w:spacing w:before="100" w:beforeAutospacing="1" w:after="100" w:afterAutospacing="1"/>
        <w:ind w:right="360"/>
      </w:pPr>
      <w:r>
        <w:rPr>
          <w:rFonts w:hint="cs"/>
          <w:rtl/>
        </w:rPr>
        <w:t xml:space="preserve">מיכל שקד, "ההיסטוריה בבית המשפט ובית המשפט בהיסטוריה - פסק הדין במשפט קסטנר והנרטיבים של הזיכרון", </w:t>
      </w:r>
      <w:r>
        <w:rPr>
          <w:rFonts w:hint="cs"/>
          <w:u w:val="single"/>
          <w:rtl/>
        </w:rPr>
        <w:t>אלפיים</w:t>
      </w:r>
      <w:r>
        <w:rPr>
          <w:rFonts w:hint="cs"/>
          <w:rtl/>
        </w:rPr>
        <w:t xml:space="preserve"> 20, 2000.</w:t>
      </w:r>
    </w:p>
    <w:p w14:paraId="7346801A" w14:textId="77777777" w:rsidR="00472D7D" w:rsidRDefault="00472D7D" w:rsidP="00472D7D">
      <w:pPr>
        <w:rPr>
          <w:rtl/>
        </w:rPr>
      </w:pPr>
      <w:r>
        <w:rPr>
          <w:rFonts w:hint="cs"/>
          <w:rtl/>
        </w:rPr>
        <w:t xml:space="preserve">יחיעם ויץ, "השינוי בדימוי של ישראל קסטנר," </w:t>
      </w:r>
      <w:r>
        <w:rPr>
          <w:rFonts w:hint="cs"/>
          <w:u w:val="single"/>
          <w:rtl/>
        </w:rPr>
        <w:t>קתדרה,</w:t>
      </w:r>
      <w:r>
        <w:rPr>
          <w:rFonts w:hint="cs"/>
          <w:rtl/>
        </w:rPr>
        <w:t xml:space="preserve"> ספטמבר 1993, חוברת 69.</w:t>
      </w:r>
    </w:p>
    <w:p w14:paraId="72AD6B7D" w14:textId="77777777" w:rsidR="00472D7D" w:rsidRDefault="00472D7D" w:rsidP="00472D7D">
      <w:pPr>
        <w:rPr>
          <w:rtl/>
        </w:rPr>
      </w:pPr>
    </w:p>
    <w:p w14:paraId="020198F8" w14:textId="77777777" w:rsidR="00472D7D" w:rsidRDefault="00472D7D" w:rsidP="00472D7D">
      <w:r>
        <w:rPr>
          <w:rFonts w:hint="cs"/>
          <w:rtl/>
        </w:rPr>
        <w:t xml:space="preserve">יחיעם ויץ, </w:t>
      </w:r>
      <w:r w:rsidRPr="00C105C8">
        <w:rPr>
          <w:rFonts w:hint="cs"/>
          <w:u w:val="single"/>
          <w:rtl/>
        </w:rPr>
        <w:t>האיש שנרצח פעמיים - חייו משפטו ומותו של ד"ר ישראל קסטנר</w:t>
      </w:r>
      <w:r>
        <w:rPr>
          <w:rFonts w:hint="cs"/>
          <w:rtl/>
        </w:rPr>
        <w:t xml:space="preserve">, הוצאת כתר, 1995. </w:t>
      </w:r>
    </w:p>
    <w:p w14:paraId="12560DA1" w14:textId="77777777" w:rsidR="00472D7D" w:rsidRDefault="00472D7D" w:rsidP="00472D7D">
      <w:pPr>
        <w:rPr>
          <w:rtl/>
        </w:rPr>
      </w:pPr>
    </w:p>
    <w:p w14:paraId="0A55A16D" w14:textId="77777777" w:rsidR="00472D7D" w:rsidRDefault="00472D7D" w:rsidP="00472D7D">
      <w:pPr>
        <w:rPr>
          <w:b/>
          <w:bCs/>
          <w:u w:val="single"/>
          <w:rtl/>
        </w:rPr>
      </w:pPr>
    </w:p>
    <w:p w14:paraId="08EED66B" w14:textId="77777777" w:rsidR="00495A1A" w:rsidRDefault="00495A1A" w:rsidP="00472D7D">
      <w:pPr>
        <w:rPr>
          <w:b/>
          <w:bCs/>
          <w:u w:val="single"/>
          <w:rtl/>
        </w:rPr>
      </w:pPr>
    </w:p>
    <w:p w14:paraId="4DA48429" w14:textId="77777777" w:rsidR="00495A1A" w:rsidRDefault="00495A1A" w:rsidP="00472D7D">
      <w:pPr>
        <w:rPr>
          <w:b/>
          <w:bCs/>
          <w:u w:val="single"/>
          <w:rtl/>
        </w:rPr>
      </w:pPr>
    </w:p>
    <w:p w14:paraId="3B6F0910" w14:textId="77777777" w:rsidR="00495A1A" w:rsidRDefault="00495A1A" w:rsidP="00472D7D">
      <w:pPr>
        <w:rPr>
          <w:b/>
          <w:bCs/>
          <w:u w:val="single"/>
          <w:rtl/>
        </w:rPr>
      </w:pPr>
    </w:p>
    <w:p w14:paraId="2DBB816E" w14:textId="77777777" w:rsidR="00495A1A" w:rsidRDefault="00495A1A" w:rsidP="00472D7D">
      <w:pPr>
        <w:rPr>
          <w:b/>
          <w:bCs/>
          <w:u w:val="single"/>
          <w:rtl/>
        </w:rPr>
      </w:pPr>
    </w:p>
    <w:p w14:paraId="121E851A" w14:textId="17930A77" w:rsidR="00472D7D" w:rsidRDefault="00472D7D" w:rsidP="00472D7D">
      <w:pPr>
        <w:rPr>
          <w:rtl/>
        </w:rPr>
      </w:pPr>
      <w:r>
        <w:rPr>
          <w:rFonts w:hint="cs"/>
          <w:b/>
          <w:bCs/>
          <w:u w:val="single"/>
          <w:rtl/>
        </w:rPr>
        <w:t xml:space="preserve">נושא </w:t>
      </w:r>
      <w:r w:rsidR="000F3CE1">
        <w:rPr>
          <w:rFonts w:hint="cs"/>
          <w:b/>
          <w:bCs/>
          <w:u w:val="single"/>
          <w:rtl/>
        </w:rPr>
        <w:t>רביעי</w:t>
      </w:r>
      <w:r>
        <w:rPr>
          <w:rFonts w:hint="cs"/>
          <w:b/>
          <w:bCs/>
          <w:u w:val="single"/>
          <w:rtl/>
        </w:rPr>
        <w:t xml:space="preserve">: משפט אייכמן ויחס החברה הישראלית לניצולים </w:t>
      </w:r>
    </w:p>
    <w:p w14:paraId="37E4FA42" w14:textId="77777777" w:rsidR="00472D7D" w:rsidRDefault="00472D7D" w:rsidP="00472D7D">
      <w:pPr>
        <w:rPr>
          <w:rtl/>
        </w:rPr>
      </w:pPr>
    </w:p>
    <w:p w14:paraId="66617836" w14:textId="77777777" w:rsidR="00472D7D" w:rsidRDefault="00472D7D" w:rsidP="00472D7D">
      <w:pPr>
        <w:rPr>
          <w:rtl/>
        </w:rPr>
      </w:pPr>
    </w:p>
    <w:p w14:paraId="444D9F56" w14:textId="77777777" w:rsidR="00472D7D" w:rsidRDefault="00472D7D" w:rsidP="00472D7D">
      <w:pPr>
        <w:rPr>
          <w:rtl/>
        </w:rPr>
      </w:pPr>
      <w:r>
        <w:rPr>
          <w:rFonts w:hint="cs"/>
          <w:rtl/>
        </w:rPr>
        <w:t xml:space="preserve">חנה ארנדט, </w:t>
      </w:r>
      <w:r>
        <w:rPr>
          <w:rFonts w:hint="cs"/>
          <w:u w:val="single"/>
          <w:rtl/>
        </w:rPr>
        <w:t xml:space="preserve">אייכמן בירושלים; דו"ח על הבנאליות של הרוע, </w:t>
      </w:r>
      <w:r>
        <w:rPr>
          <w:rFonts w:hint="cs"/>
          <w:rtl/>
        </w:rPr>
        <w:t xml:space="preserve"> הוצאת בבל (1963), 2000 (פרקים נבחרים)</w:t>
      </w:r>
    </w:p>
    <w:p w14:paraId="70E67969" w14:textId="77777777" w:rsidR="00472D7D" w:rsidRDefault="00472D7D" w:rsidP="00472D7D">
      <w:pPr>
        <w:rPr>
          <w:rtl/>
        </w:rPr>
      </w:pPr>
    </w:p>
    <w:p w14:paraId="54CCA2CF" w14:textId="77777777" w:rsidR="00472D7D" w:rsidRDefault="00472D7D" w:rsidP="00472D7D">
      <w:pPr>
        <w:rPr>
          <w:rtl/>
        </w:rPr>
      </w:pPr>
      <w:r>
        <w:rPr>
          <w:rFonts w:hint="cs"/>
          <w:rtl/>
        </w:rPr>
        <w:t xml:space="preserve">חנה יבלונקה, </w:t>
      </w:r>
      <w:r>
        <w:rPr>
          <w:rFonts w:hint="cs"/>
          <w:u w:val="single"/>
          <w:rtl/>
        </w:rPr>
        <w:t>מדינת ישראל נגד אדולף אייכמן</w:t>
      </w:r>
      <w:r>
        <w:rPr>
          <w:rFonts w:hint="cs"/>
          <w:rtl/>
        </w:rPr>
        <w:t>, הוצאת ידיעות אחרונות, 2003. (פרקים נבחרים)</w:t>
      </w:r>
    </w:p>
    <w:p w14:paraId="498ECE2B" w14:textId="77777777" w:rsidR="00472D7D" w:rsidRDefault="00472D7D" w:rsidP="00472D7D">
      <w:pPr>
        <w:rPr>
          <w:rtl/>
        </w:rPr>
      </w:pPr>
    </w:p>
    <w:p w14:paraId="068821D7" w14:textId="77777777" w:rsidR="00472D7D" w:rsidRPr="001A7602" w:rsidRDefault="00472D7D" w:rsidP="00472D7D"/>
    <w:p w14:paraId="2F86DCE5" w14:textId="77777777" w:rsidR="00472D7D" w:rsidRPr="00B1717F" w:rsidRDefault="00472D7D" w:rsidP="00472D7D"/>
    <w:p w14:paraId="63D501F9" w14:textId="77777777" w:rsidR="00472D7D" w:rsidRDefault="00472D7D" w:rsidP="00472D7D">
      <w:pPr>
        <w:rPr>
          <w:rtl/>
        </w:rPr>
      </w:pPr>
      <w:r>
        <w:rPr>
          <w:rFonts w:hint="cs"/>
          <w:b/>
          <w:bCs/>
          <w:u w:val="single"/>
          <w:rtl/>
        </w:rPr>
        <w:t xml:space="preserve">נושא חמישי: זיכרון השואה כמוקד למחלוקת </w:t>
      </w:r>
    </w:p>
    <w:p w14:paraId="7DB9A3EA" w14:textId="77777777" w:rsidR="00472D7D" w:rsidRDefault="00472D7D" w:rsidP="00472D7D">
      <w:pPr>
        <w:rPr>
          <w:rtl/>
        </w:rPr>
      </w:pPr>
    </w:p>
    <w:p w14:paraId="7218DFDC" w14:textId="77777777" w:rsidR="000F3CE1" w:rsidRDefault="000F3CE1" w:rsidP="000F3CE1">
      <w:pPr>
        <w:rPr>
          <w:rtl/>
        </w:rPr>
      </w:pPr>
    </w:p>
    <w:p w14:paraId="3F50F5BB" w14:textId="77777777" w:rsidR="000F3CE1" w:rsidRDefault="000F3CE1" w:rsidP="000F3CE1">
      <w:pPr>
        <w:rPr>
          <w:rtl/>
        </w:rPr>
      </w:pPr>
      <w:r>
        <w:rPr>
          <w:rFonts w:hint="cs"/>
          <w:rtl/>
        </w:rPr>
        <w:t xml:space="preserve">דניאל גוטויין, "הפרטת השואה: פוליטיקה, זיכרון והיסטוריוגרפיה," </w:t>
      </w:r>
      <w:r>
        <w:rPr>
          <w:rFonts w:hint="cs"/>
          <w:u w:val="single"/>
          <w:rtl/>
        </w:rPr>
        <w:t>דפים לחקר תקופת השואה</w:t>
      </w:r>
      <w:r>
        <w:rPr>
          <w:rFonts w:hint="cs"/>
          <w:rtl/>
        </w:rPr>
        <w:t>, מאסף טו (תשנ"ט) 1998, 7-51.</w:t>
      </w:r>
    </w:p>
    <w:p w14:paraId="020AC449" w14:textId="77777777" w:rsidR="000F3CE1" w:rsidRDefault="000F3CE1" w:rsidP="00472D7D">
      <w:pPr>
        <w:rPr>
          <w:rtl/>
        </w:rPr>
      </w:pPr>
    </w:p>
    <w:p w14:paraId="1E5FBC3E" w14:textId="59C552EA" w:rsidR="000F3CE1" w:rsidRPr="00023C5C" w:rsidRDefault="00472D7D" w:rsidP="00472D7D">
      <w:pPr>
        <w:rPr>
          <w:rtl/>
        </w:rPr>
      </w:pPr>
      <w:r>
        <w:rPr>
          <w:rFonts w:hint="cs"/>
          <w:rtl/>
        </w:rPr>
        <w:t xml:space="preserve">תום שגב, </w:t>
      </w:r>
      <w:r>
        <w:rPr>
          <w:rFonts w:hint="cs"/>
          <w:u w:val="single"/>
          <w:rtl/>
        </w:rPr>
        <w:t>המיליון השביעי</w:t>
      </w:r>
      <w:r>
        <w:rPr>
          <w:rFonts w:hint="cs"/>
          <w:rtl/>
        </w:rPr>
        <w:t>, ע"מ 371-393</w:t>
      </w:r>
    </w:p>
    <w:p w14:paraId="0028E5C9" w14:textId="77777777" w:rsidR="00472D7D" w:rsidRDefault="00472D7D" w:rsidP="00472D7D">
      <w:pPr>
        <w:rPr>
          <w:rtl/>
        </w:rPr>
      </w:pPr>
    </w:p>
    <w:p w14:paraId="3C03ED8B" w14:textId="77777777" w:rsidR="00472D7D" w:rsidRPr="00874FCC" w:rsidRDefault="00472D7D" w:rsidP="00472D7D">
      <w:pPr>
        <w:rPr>
          <w:rtl/>
        </w:rPr>
      </w:pPr>
      <w:r w:rsidRPr="00874FCC">
        <w:rPr>
          <w:rFonts w:hint="cs"/>
          <w:rtl/>
        </w:rPr>
        <w:t>מאמרים נבחרים מתוך כתב העט</w:t>
      </w:r>
      <w:r>
        <w:rPr>
          <w:rFonts w:hint="cs"/>
          <w:u w:val="single"/>
          <w:rtl/>
        </w:rPr>
        <w:t xml:space="preserve"> </w:t>
      </w:r>
      <w:r w:rsidRPr="00874FCC">
        <w:rPr>
          <w:rFonts w:hint="cs"/>
          <w:u w:val="single"/>
          <w:rtl/>
        </w:rPr>
        <w:t>פוליטיקה</w:t>
      </w:r>
      <w:r w:rsidRPr="00874FCC">
        <w:rPr>
          <w:rFonts w:hint="cs"/>
          <w:rtl/>
        </w:rPr>
        <w:t xml:space="preserve"> 8 (1986)</w:t>
      </w:r>
    </w:p>
    <w:p w14:paraId="7DBCB6B3" w14:textId="77777777" w:rsidR="00472D7D" w:rsidRPr="00B1717F" w:rsidRDefault="00472D7D" w:rsidP="00472D7D">
      <w:pPr>
        <w:rPr>
          <w:rtl/>
        </w:rPr>
      </w:pPr>
    </w:p>
    <w:p w14:paraId="4BB9EB03" w14:textId="77777777" w:rsidR="00472D7D" w:rsidRPr="007206CA" w:rsidRDefault="00472D7D" w:rsidP="00472D7D">
      <w:pPr>
        <w:jc w:val="both"/>
        <w:rPr>
          <w:rtl/>
        </w:rPr>
      </w:pPr>
      <w:r>
        <w:rPr>
          <w:rFonts w:hint="cs"/>
          <w:rtl/>
        </w:rPr>
        <w:t xml:space="preserve">יהודה אלקנה, "בזכות השיכחה," </w:t>
      </w:r>
      <w:r>
        <w:rPr>
          <w:rFonts w:hint="cs"/>
          <w:u w:val="single"/>
          <w:rtl/>
        </w:rPr>
        <w:t>הארץ</w:t>
      </w:r>
      <w:r>
        <w:rPr>
          <w:rFonts w:hint="cs"/>
          <w:rtl/>
        </w:rPr>
        <w:t xml:space="preserve"> 2/3/88</w:t>
      </w:r>
    </w:p>
    <w:p w14:paraId="3679A0D7" w14:textId="77777777" w:rsidR="00472D7D" w:rsidRDefault="00472D7D" w:rsidP="00472D7D">
      <w:pPr>
        <w:rPr>
          <w:b/>
          <w:bCs/>
          <w:u w:val="single"/>
          <w:rtl/>
        </w:rPr>
      </w:pPr>
    </w:p>
    <w:p w14:paraId="731C2E45" w14:textId="77777777" w:rsidR="00472D7D" w:rsidRDefault="00472D7D" w:rsidP="00472D7D">
      <w:pPr>
        <w:rPr>
          <w:rtl/>
        </w:rPr>
      </w:pPr>
      <w:r>
        <w:rPr>
          <w:rFonts w:hint="cs"/>
          <w:b/>
          <w:bCs/>
          <w:u w:val="single"/>
          <w:rtl/>
        </w:rPr>
        <w:t xml:space="preserve">נושא ששי: הוראת השואה בבתי ספר והמסעות לפולין </w:t>
      </w:r>
    </w:p>
    <w:p w14:paraId="1B2808ED" w14:textId="77777777" w:rsidR="00472D7D" w:rsidRDefault="00472D7D" w:rsidP="00472D7D">
      <w:pPr>
        <w:rPr>
          <w:rtl/>
        </w:rPr>
      </w:pPr>
    </w:p>
    <w:p w14:paraId="69EB2950" w14:textId="77777777" w:rsidR="00472D7D" w:rsidRDefault="00472D7D" w:rsidP="00472D7D">
      <w:pPr>
        <w:ind w:right="424"/>
        <w:rPr>
          <w:rtl/>
        </w:rPr>
      </w:pPr>
      <w:r>
        <w:rPr>
          <w:rFonts w:hint="cs"/>
          <w:rtl/>
        </w:rPr>
        <w:t>ג'קי פלדמן</w:t>
      </w:r>
      <w:r w:rsidRPr="001A7602">
        <w:rPr>
          <w:rFonts w:hint="cs"/>
          <w:rtl/>
        </w:rPr>
        <w:t xml:space="preserve"> </w:t>
      </w:r>
      <w:r>
        <w:rPr>
          <w:rFonts w:hint="cs"/>
          <w:rtl/>
        </w:rPr>
        <w:t xml:space="preserve">פלדמן, גקי (2000)בעקבות ניצול השואה הישראלי: משלחות נוער ישראליות לפולין וזהות לאומית" </w:t>
      </w:r>
      <w:r>
        <w:rPr>
          <w:rFonts w:hint="cs"/>
          <w:i/>
          <w:iCs/>
          <w:rtl/>
        </w:rPr>
        <w:t>תיאוריה וביקורת</w:t>
      </w:r>
      <w:r>
        <w:rPr>
          <w:rFonts w:hint="cs"/>
          <w:rtl/>
        </w:rPr>
        <w:t xml:space="preserve"> 19: 167-190.</w:t>
      </w:r>
    </w:p>
    <w:p w14:paraId="7D9CCB42" w14:textId="77777777" w:rsidR="00472D7D" w:rsidRDefault="00472D7D" w:rsidP="00472D7D">
      <w:pPr>
        <w:rPr>
          <w:rtl/>
        </w:rPr>
      </w:pPr>
    </w:p>
    <w:p w14:paraId="032EA415" w14:textId="77777777" w:rsidR="00472D7D" w:rsidRDefault="00472D7D" w:rsidP="00472D7D">
      <w:pPr>
        <w:jc w:val="both"/>
        <w:rPr>
          <w:rtl/>
        </w:rPr>
      </w:pPr>
      <w:r>
        <w:rPr>
          <w:rFonts w:hint="cs"/>
          <w:rtl/>
        </w:rPr>
        <w:t xml:space="preserve">נילי קרן, "נושא השואה בחברה הישראלית ובמערכת החינוך בשנים 1948-1981", </w:t>
      </w:r>
    </w:p>
    <w:p w14:paraId="2F596BE8" w14:textId="77777777" w:rsidR="00472D7D" w:rsidRDefault="00472D7D" w:rsidP="00472D7D">
      <w:pPr>
        <w:jc w:val="both"/>
        <w:rPr>
          <w:rtl/>
        </w:rPr>
      </w:pPr>
    </w:p>
    <w:p w14:paraId="148D788E" w14:textId="77777777" w:rsidR="00472D7D" w:rsidRPr="00D437EA" w:rsidRDefault="00472D7D" w:rsidP="00472D7D">
      <w:pPr>
        <w:jc w:val="both"/>
        <w:rPr>
          <w:rtl/>
        </w:rPr>
      </w:pPr>
      <w:r>
        <w:rPr>
          <w:rtl/>
        </w:rPr>
        <w:t>קרן, נילי, לימוד וספרי לימוד - תמורות בהוראת השואה(1989-2001</w:t>
      </w:r>
      <w:r>
        <w:t xml:space="preserve">), </w:t>
      </w:r>
      <w:r>
        <w:rPr>
          <w:rStyle w:val="a5"/>
          <w:rtl/>
        </w:rPr>
        <w:t>בשביל הזיכרון</w:t>
      </w:r>
      <w:r>
        <w:t xml:space="preserve">, 44, </w:t>
      </w:r>
      <w:r>
        <w:rPr>
          <w:rtl/>
        </w:rPr>
        <w:t>יד ושם, ירושלים, 2002, עמ' 18-24</w:t>
      </w:r>
      <w:r>
        <w:t>.</w:t>
      </w:r>
    </w:p>
    <w:p w14:paraId="12569ED4" w14:textId="77777777" w:rsidR="00472D7D" w:rsidRDefault="00472D7D" w:rsidP="00472D7D">
      <w:pPr>
        <w:jc w:val="both"/>
        <w:rPr>
          <w:rtl/>
        </w:rPr>
      </w:pPr>
    </w:p>
    <w:p w14:paraId="2017EA2F" w14:textId="77777777" w:rsidR="00472D7D" w:rsidRPr="00D437EA" w:rsidRDefault="00472D7D" w:rsidP="00472D7D">
      <w:pPr>
        <w:jc w:val="both"/>
        <w:rPr>
          <w:rtl/>
        </w:rPr>
      </w:pPr>
      <w:r>
        <w:rPr>
          <w:rFonts w:hint="cs"/>
          <w:u w:val="single"/>
          <w:rtl/>
        </w:rPr>
        <w:t>קריאה נוספת</w:t>
      </w:r>
    </w:p>
    <w:p w14:paraId="507FC545" w14:textId="77777777" w:rsidR="00472D7D" w:rsidRDefault="00472D7D" w:rsidP="00472D7D">
      <w:pPr>
        <w:bidi w:val="0"/>
        <w:jc w:val="both"/>
      </w:pPr>
    </w:p>
    <w:p w14:paraId="50BFCABF" w14:textId="77777777" w:rsidR="00472D7D" w:rsidRPr="00D437EA" w:rsidRDefault="00472D7D" w:rsidP="00472D7D">
      <w:pPr>
        <w:bidi w:val="0"/>
        <w:jc w:val="both"/>
      </w:pPr>
      <w:r>
        <w:t xml:space="preserve">Idit Gil, "Teaching the </w:t>
      </w:r>
      <w:proofErr w:type="spellStart"/>
      <w:r>
        <w:t>Shoah</w:t>
      </w:r>
      <w:proofErr w:type="spellEnd"/>
      <w:r>
        <w:t xml:space="preserve"> in History Classes in Israeli High Schools," </w:t>
      </w:r>
      <w:r>
        <w:rPr>
          <w:u w:val="single"/>
        </w:rPr>
        <w:t>Israel Studies</w:t>
      </w:r>
      <w:r>
        <w:t>, volume 14, number 2, 2009, pp. 1-25.</w:t>
      </w:r>
    </w:p>
    <w:p w14:paraId="68D1E3B1" w14:textId="77777777" w:rsidR="00472D7D" w:rsidRDefault="00472D7D" w:rsidP="00472D7D">
      <w:pPr>
        <w:jc w:val="both"/>
        <w:rPr>
          <w:rtl/>
        </w:rPr>
      </w:pPr>
    </w:p>
    <w:p w14:paraId="5718E321" w14:textId="77777777" w:rsidR="00472D7D" w:rsidRPr="00A81803" w:rsidRDefault="00472D7D" w:rsidP="00472D7D">
      <w:pPr>
        <w:rPr>
          <w:rtl/>
        </w:rPr>
      </w:pPr>
      <w:r w:rsidRPr="00A81803">
        <w:rPr>
          <w:rtl/>
        </w:rPr>
        <w:t>א. בן-עמוס וא. בת-אל, 2000, "טקסים, חינוך והיסטוריה: יום הזיכרון ויום השואה בבתי-ספר בישראל", בספר: מ. מייזל וא. שמיר (עורכים), דפוסים של הנצחה, הוצאת משרד הביטחון. עמ' 89-110.</w:t>
      </w:r>
    </w:p>
    <w:p w14:paraId="70CE3D0E" w14:textId="77777777" w:rsidR="00472D7D" w:rsidRDefault="00472D7D" w:rsidP="00472D7D">
      <w:pPr>
        <w:jc w:val="both"/>
        <w:rPr>
          <w:rtl/>
        </w:rPr>
      </w:pPr>
    </w:p>
    <w:p w14:paraId="33093AA6" w14:textId="77777777" w:rsidR="00472D7D" w:rsidRDefault="00472D7D" w:rsidP="00472D7D">
      <w:pPr>
        <w:jc w:val="both"/>
        <w:rPr>
          <w:rtl/>
        </w:rPr>
      </w:pPr>
    </w:p>
    <w:p w14:paraId="041BAFD3" w14:textId="77777777" w:rsidR="00472D7D" w:rsidRPr="0082013A" w:rsidRDefault="00472D7D" w:rsidP="00472D7D">
      <w:pPr>
        <w:bidi w:val="0"/>
        <w:jc w:val="both"/>
      </w:pPr>
      <w:r>
        <w:t xml:space="preserve">Julia </w:t>
      </w:r>
      <w:proofErr w:type="spellStart"/>
      <w:r>
        <w:t>Resnick</w:t>
      </w:r>
      <w:proofErr w:type="spellEnd"/>
      <w:r>
        <w:t xml:space="preserve">, "'Sites of memory' of the Holocaust: shaping national memory in the education system in Israel," </w:t>
      </w:r>
      <w:r>
        <w:rPr>
          <w:u w:val="single"/>
        </w:rPr>
        <w:t>Nations and Nationalism</w:t>
      </w:r>
      <w:r>
        <w:t xml:space="preserve"> 9 (2) 2003 297-317</w:t>
      </w:r>
    </w:p>
    <w:p w14:paraId="3534EA00" w14:textId="77777777" w:rsidR="00472D7D" w:rsidRPr="001A7602" w:rsidRDefault="00472D7D" w:rsidP="00472D7D">
      <w:pPr>
        <w:rPr>
          <w:b/>
          <w:bCs/>
          <w:u w:val="single"/>
          <w:rtl/>
        </w:rPr>
      </w:pPr>
    </w:p>
    <w:p w14:paraId="4A01CC41" w14:textId="77777777" w:rsidR="00472D7D" w:rsidRDefault="00472D7D" w:rsidP="00472D7D">
      <w:pPr>
        <w:rPr>
          <w:b/>
          <w:bCs/>
          <w:u w:val="single"/>
          <w:rtl/>
        </w:rPr>
      </w:pPr>
      <w:r>
        <w:rPr>
          <w:rFonts w:hint="cs"/>
          <w:b/>
          <w:bCs/>
          <w:u w:val="single"/>
          <w:rtl/>
        </w:rPr>
        <w:lastRenderedPageBreak/>
        <w:t xml:space="preserve">נושא שביעי: זיכרון השואה ויחסה של מדינת ישראל לרצח עם </w:t>
      </w:r>
      <w:r>
        <w:rPr>
          <w:b/>
          <w:bCs/>
          <w:u w:val="single"/>
          <w:rtl/>
        </w:rPr>
        <w:t>–</w:t>
      </w:r>
      <w:r>
        <w:rPr>
          <w:rFonts w:hint="cs"/>
          <w:b/>
          <w:bCs/>
          <w:u w:val="single"/>
          <w:rtl/>
        </w:rPr>
        <w:t xml:space="preserve"> בין אוניברסאליות לפארטיקולאריות</w:t>
      </w:r>
    </w:p>
    <w:p w14:paraId="4205B3AD" w14:textId="77777777" w:rsidR="00472D7D" w:rsidRDefault="00472D7D" w:rsidP="00472D7D">
      <w:pPr>
        <w:rPr>
          <w:b/>
          <w:bCs/>
          <w:u w:val="single"/>
          <w:rtl/>
        </w:rPr>
      </w:pPr>
    </w:p>
    <w:p w14:paraId="6FCADA6C" w14:textId="77777777" w:rsidR="00472D7D" w:rsidRDefault="00472D7D" w:rsidP="00472D7D">
      <w:pPr>
        <w:jc w:val="both"/>
        <w:rPr>
          <w:rtl/>
        </w:rPr>
      </w:pPr>
    </w:p>
    <w:p w14:paraId="542A549F" w14:textId="77777777" w:rsidR="00472D7D" w:rsidRDefault="00472D7D" w:rsidP="00472D7D">
      <w:pPr>
        <w:rPr>
          <w:rtl/>
        </w:rPr>
      </w:pPr>
      <w:r>
        <w:rPr>
          <w:rFonts w:hint="cs"/>
          <w:rtl/>
        </w:rPr>
        <w:t xml:space="preserve">יאיר אורון, </w:t>
      </w:r>
      <w:r>
        <w:rPr>
          <w:rFonts w:hint="cs"/>
          <w:u w:val="single"/>
          <w:rtl/>
        </w:rPr>
        <w:t>הכחשה; ישראל ורצח העם הארמני</w:t>
      </w:r>
      <w:r>
        <w:rPr>
          <w:rFonts w:hint="cs"/>
          <w:rtl/>
        </w:rPr>
        <w:t>, פרקים נבחרים.</w:t>
      </w:r>
    </w:p>
    <w:p w14:paraId="76FD4D79" w14:textId="77777777" w:rsidR="00472D7D" w:rsidRDefault="00472D7D" w:rsidP="00472D7D">
      <w:pPr>
        <w:rPr>
          <w:rtl/>
        </w:rPr>
      </w:pPr>
    </w:p>
    <w:p w14:paraId="6E920281" w14:textId="77777777" w:rsidR="00472D7D" w:rsidRPr="00755FA3" w:rsidRDefault="00472D7D" w:rsidP="00472D7D">
      <w:pPr>
        <w:rPr>
          <w:rtl/>
        </w:rPr>
      </w:pPr>
      <w:r>
        <w:rPr>
          <w:rFonts w:hint="cs"/>
          <w:rtl/>
        </w:rPr>
        <w:t xml:space="preserve">יהודה באואר, </w:t>
      </w:r>
      <w:r>
        <w:rPr>
          <w:rFonts w:hint="cs"/>
          <w:u w:val="single"/>
          <w:rtl/>
        </w:rPr>
        <w:t>הרהורים על השואה</w:t>
      </w:r>
      <w:r>
        <w:rPr>
          <w:rFonts w:hint="cs"/>
          <w:rtl/>
        </w:rPr>
        <w:t xml:space="preserve">, פרקים נבחרים. </w:t>
      </w:r>
    </w:p>
    <w:p w14:paraId="72771043" w14:textId="77777777" w:rsidR="00472D7D" w:rsidRDefault="00472D7D" w:rsidP="00472D7D">
      <w:pPr>
        <w:rPr>
          <w:rtl/>
        </w:rPr>
      </w:pPr>
    </w:p>
    <w:p w14:paraId="5CB7CEDA" w14:textId="77777777" w:rsidR="00472D7D" w:rsidRDefault="00472D7D" w:rsidP="00472D7D">
      <w:pPr>
        <w:rPr>
          <w:rtl/>
        </w:rPr>
      </w:pPr>
    </w:p>
    <w:p w14:paraId="12876C6C" w14:textId="77777777" w:rsidR="00472D7D" w:rsidRPr="000D3E51" w:rsidRDefault="00472D7D" w:rsidP="00472D7D">
      <w:pPr>
        <w:rPr>
          <w:b/>
          <w:bCs/>
          <w:u w:val="single"/>
          <w:rtl/>
        </w:rPr>
      </w:pPr>
      <w:r w:rsidRPr="000D3E51">
        <w:rPr>
          <w:rFonts w:hint="cs"/>
          <w:b/>
          <w:bCs/>
          <w:u w:val="single"/>
          <w:rtl/>
        </w:rPr>
        <w:t xml:space="preserve">נושא שמיני: זיכרון השואה </w:t>
      </w:r>
      <w:r>
        <w:rPr>
          <w:rFonts w:hint="cs"/>
          <w:b/>
          <w:bCs/>
          <w:u w:val="single"/>
          <w:rtl/>
        </w:rPr>
        <w:t xml:space="preserve">והזהות הישראלית </w:t>
      </w:r>
    </w:p>
    <w:p w14:paraId="70571BEF" w14:textId="77777777" w:rsidR="00472D7D" w:rsidRDefault="00472D7D" w:rsidP="00472D7D">
      <w:pPr>
        <w:rPr>
          <w:rtl/>
        </w:rPr>
      </w:pPr>
    </w:p>
    <w:p w14:paraId="58D7A293" w14:textId="77777777" w:rsidR="00472D7D" w:rsidRPr="00055C88" w:rsidRDefault="00472D7D" w:rsidP="00472D7D">
      <w:pPr>
        <w:jc w:val="both"/>
        <w:rPr>
          <w:rtl/>
        </w:rPr>
      </w:pPr>
      <w:r w:rsidRPr="00055C88">
        <w:rPr>
          <w:rFonts w:hint="cs"/>
          <w:rtl/>
        </w:rPr>
        <w:t xml:space="preserve">יעל זרובבל, "זיכרון המוות ומוות הזיכרון; מחשבות על מצדה והשואה," </w:t>
      </w:r>
      <w:r w:rsidRPr="00055C88">
        <w:rPr>
          <w:rFonts w:hint="cs"/>
          <w:u w:val="single"/>
          <w:rtl/>
        </w:rPr>
        <w:t>תאוריה וביקורת</w:t>
      </w:r>
    </w:p>
    <w:p w14:paraId="6384B9E4" w14:textId="77777777" w:rsidR="00472D7D" w:rsidRPr="00055C88" w:rsidRDefault="00472D7D" w:rsidP="00472D7D">
      <w:pPr>
        <w:jc w:val="both"/>
        <w:rPr>
          <w:rtl/>
        </w:rPr>
      </w:pPr>
    </w:p>
    <w:p w14:paraId="75DC4D85" w14:textId="77777777" w:rsidR="00472D7D" w:rsidRPr="00055C88" w:rsidRDefault="00472D7D" w:rsidP="00472D7D">
      <w:pPr>
        <w:jc w:val="both"/>
        <w:rPr>
          <w:rtl/>
        </w:rPr>
      </w:pPr>
      <w:r w:rsidRPr="00055C88">
        <w:rPr>
          <w:rFonts w:hint="cs"/>
          <w:rtl/>
        </w:rPr>
        <w:t xml:space="preserve">יהודה באואר, </w:t>
      </w:r>
      <w:r w:rsidRPr="00055C88">
        <w:rPr>
          <w:rFonts w:hint="cs"/>
          <w:u w:val="single"/>
          <w:rtl/>
        </w:rPr>
        <w:t>הרהורים על השואה</w:t>
      </w:r>
      <w:r w:rsidRPr="00055C88">
        <w:rPr>
          <w:rFonts w:hint="cs"/>
          <w:rtl/>
        </w:rPr>
        <w:t>.</w:t>
      </w:r>
    </w:p>
    <w:p w14:paraId="1F96E486" w14:textId="77777777" w:rsidR="00472D7D" w:rsidRPr="00055C88" w:rsidRDefault="00472D7D" w:rsidP="00472D7D">
      <w:pPr>
        <w:jc w:val="both"/>
        <w:rPr>
          <w:rtl/>
        </w:rPr>
      </w:pPr>
    </w:p>
    <w:p w14:paraId="7AC9B03C" w14:textId="77777777" w:rsidR="00472D7D" w:rsidRPr="00055C88" w:rsidRDefault="00472D7D" w:rsidP="00472D7D">
      <w:pPr>
        <w:jc w:val="both"/>
        <w:rPr>
          <w:rtl/>
        </w:rPr>
      </w:pPr>
      <w:r w:rsidRPr="00055C88">
        <w:rPr>
          <w:rFonts w:hint="cs"/>
          <w:rtl/>
        </w:rPr>
        <w:t xml:space="preserve">עדית זרטל, </w:t>
      </w:r>
      <w:r w:rsidRPr="00055C88">
        <w:rPr>
          <w:rFonts w:hint="cs"/>
          <w:u w:val="single"/>
          <w:rtl/>
        </w:rPr>
        <w:t>האומה והמוות</w:t>
      </w:r>
      <w:r w:rsidRPr="00055C88">
        <w:rPr>
          <w:rFonts w:hint="cs"/>
          <w:rtl/>
        </w:rPr>
        <w:t>.</w:t>
      </w:r>
    </w:p>
    <w:p w14:paraId="267AD98C" w14:textId="77777777" w:rsidR="00472D7D" w:rsidRPr="00055C88" w:rsidRDefault="00472D7D" w:rsidP="006212BC">
      <w:pPr>
        <w:rPr>
          <w:rtl/>
        </w:rPr>
      </w:pPr>
    </w:p>
    <w:p w14:paraId="2C84E5E7" w14:textId="60740451" w:rsidR="006212BC" w:rsidRPr="006212BC" w:rsidRDefault="006212BC" w:rsidP="006212BC">
      <w:pPr>
        <w:widowControl w:val="0"/>
        <w:autoSpaceDE w:val="0"/>
        <w:autoSpaceDN w:val="0"/>
        <w:bidi w:val="0"/>
        <w:adjustRightInd w:val="0"/>
        <w:rPr>
          <w:rFonts w:asciiTheme="minorHAnsi" w:eastAsiaTheme="minorHAnsi" w:hAnsiTheme="minorHAnsi"/>
          <w:lang w:bidi="ar-SA"/>
        </w:rPr>
      </w:pPr>
      <w:proofErr w:type="spellStart"/>
      <w:r w:rsidRPr="006212BC">
        <w:rPr>
          <w:rFonts w:asciiTheme="minorHAnsi" w:eastAsiaTheme="minorHAnsi" w:hAnsiTheme="minorHAnsi"/>
          <w:lang w:bidi="ar-SA"/>
        </w:rPr>
        <w:t>Mooli</w:t>
      </w:r>
      <w:proofErr w:type="spellEnd"/>
      <w:r w:rsidRPr="006212BC">
        <w:rPr>
          <w:rFonts w:asciiTheme="minorHAnsi" w:eastAsiaTheme="minorHAnsi" w:hAnsiTheme="minorHAnsi"/>
          <w:lang w:bidi="ar-SA"/>
        </w:rPr>
        <w:t xml:space="preserve"> </w:t>
      </w:r>
      <w:proofErr w:type="spellStart"/>
      <w:r w:rsidRPr="006212BC">
        <w:rPr>
          <w:rFonts w:asciiTheme="minorHAnsi" w:eastAsiaTheme="minorHAnsi" w:hAnsiTheme="minorHAnsi"/>
          <w:lang w:bidi="ar-SA"/>
        </w:rPr>
        <w:t>Brog</w:t>
      </w:r>
      <w:proofErr w:type="spellEnd"/>
      <w:r>
        <w:rPr>
          <w:rFonts w:eastAsiaTheme="minorHAnsi"/>
        </w:rPr>
        <w:t>, “</w:t>
      </w:r>
      <w:r w:rsidRPr="006212BC">
        <w:rPr>
          <w:rFonts w:asciiTheme="minorHAnsi" w:eastAsiaTheme="minorHAnsi" w:hAnsiTheme="minorHAnsi"/>
          <w:lang w:bidi="ar-SA"/>
        </w:rPr>
        <w:t>Victims and Victors: Holocaust</w:t>
      </w:r>
      <w:r w:rsidR="00495A1A">
        <w:rPr>
          <w:rFonts w:asciiTheme="minorHAnsi" w:eastAsiaTheme="minorHAnsi" w:hAnsiTheme="minorHAnsi" w:hint="cs"/>
        </w:rPr>
        <w:t xml:space="preserve"> </w:t>
      </w:r>
      <w:r w:rsidRPr="006212BC">
        <w:rPr>
          <w:rFonts w:asciiTheme="minorHAnsi" w:eastAsiaTheme="minorHAnsi" w:hAnsiTheme="minorHAnsi"/>
          <w:lang w:bidi="ar-SA"/>
        </w:rPr>
        <w:t>and Military Commemoration</w:t>
      </w:r>
      <w:r>
        <w:rPr>
          <w:rFonts w:asciiTheme="minorHAnsi" w:eastAsiaTheme="minorHAnsi" w:hAnsiTheme="minorHAnsi"/>
          <w:lang w:bidi="ar-SA"/>
        </w:rPr>
        <w:t xml:space="preserve"> in Israeli Collective Memory,” Israeli Studies Volume 8, no. 3</w:t>
      </w:r>
    </w:p>
    <w:p w14:paraId="46FE3E77" w14:textId="77777777" w:rsidR="00472D7D" w:rsidRPr="00B1717F" w:rsidRDefault="00472D7D" w:rsidP="00472D7D">
      <w:pPr>
        <w:jc w:val="both"/>
        <w:rPr>
          <w:b/>
          <w:bCs/>
          <w:u w:val="single"/>
          <w:rtl/>
        </w:rPr>
      </w:pPr>
    </w:p>
    <w:p w14:paraId="22AF2E07" w14:textId="77777777" w:rsidR="00472D7D" w:rsidRDefault="00472D7D" w:rsidP="00472D7D">
      <w:pPr>
        <w:bidi w:val="0"/>
        <w:jc w:val="both"/>
      </w:pPr>
      <w:proofErr w:type="spellStart"/>
      <w:r w:rsidRPr="00945E4A">
        <w:t>Gulie</w:t>
      </w:r>
      <w:proofErr w:type="spellEnd"/>
      <w:r w:rsidRPr="00945E4A">
        <w:t xml:space="preserve"> </w:t>
      </w:r>
      <w:proofErr w:type="spellStart"/>
      <w:r w:rsidRPr="00945E4A">
        <w:t>Ne'eman</w:t>
      </w:r>
      <w:proofErr w:type="spellEnd"/>
      <w:r w:rsidRPr="00945E4A">
        <w:t xml:space="preserve"> Arad, "Israel and the </w:t>
      </w:r>
      <w:proofErr w:type="spellStart"/>
      <w:r w:rsidRPr="00945E4A">
        <w:t>Shoah</w:t>
      </w:r>
      <w:proofErr w:type="spellEnd"/>
      <w:r w:rsidRPr="00945E4A">
        <w:t>: A Tale of Multifarious Taboos</w:t>
      </w:r>
      <w:r>
        <w:t>"</w:t>
      </w:r>
      <w:r w:rsidRPr="00945E4A">
        <w:t>,</w:t>
      </w:r>
      <w:r>
        <w:t xml:space="preserve"> </w:t>
      </w:r>
      <w:r w:rsidRPr="00945E4A">
        <w:rPr>
          <w:u w:val="single"/>
        </w:rPr>
        <w:t>New German Critique</w:t>
      </w:r>
      <w:r w:rsidRPr="00945E4A">
        <w:t>, no. 90, (Autumn 2003): 5-26.</w:t>
      </w:r>
    </w:p>
    <w:p w14:paraId="71C2CF80" w14:textId="77777777" w:rsidR="000F3CE1" w:rsidRDefault="000F3CE1" w:rsidP="00472D7D">
      <w:pPr>
        <w:bidi w:val="0"/>
        <w:jc w:val="both"/>
      </w:pPr>
    </w:p>
    <w:p w14:paraId="5331BF9A" w14:textId="77777777" w:rsidR="000F3CE1" w:rsidRDefault="000F3CE1" w:rsidP="000F3CE1">
      <w:pPr>
        <w:rPr>
          <w:rtl/>
        </w:rPr>
      </w:pPr>
    </w:p>
    <w:p w14:paraId="369053DB" w14:textId="77777777" w:rsidR="000F3CE1" w:rsidRPr="00645AA7" w:rsidRDefault="000F3CE1" w:rsidP="000F3CE1">
      <w:pPr>
        <w:rPr>
          <w:rtl/>
        </w:rPr>
      </w:pPr>
      <w:r>
        <w:rPr>
          <w:rFonts w:hint="cs"/>
          <w:rtl/>
        </w:rPr>
        <w:t>דליה עופר, "50 שנים של שיח ישראלי על השואה: מאפיינים ודילמות," ב</w:t>
      </w:r>
      <w:r>
        <w:rPr>
          <w:rtl/>
        </w:rPr>
        <w:t>תוך: מכמן, דן (עורך</w:t>
      </w:r>
      <w:r>
        <w:t xml:space="preserve">), </w:t>
      </w:r>
      <w:r>
        <w:rPr>
          <w:rStyle w:val="a5"/>
          <w:rtl/>
        </w:rPr>
        <w:t>השואה בהיסטוריה היהודית</w:t>
      </w:r>
      <w:r>
        <w:t xml:space="preserve">, </w:t>
      </w:r>
      <w:r>
        <w:rPr>
          <w:rtl/>
        </w:rPr>
        <w:t>היסטוריוגרפיה, תודעה ופרשנות, יד ושם, ירושלים, תשס"ה, עמ' 293-328</w:t>
      </w:r>
      <w:r>
        <w:t>.</w:t>
      </w:r>
    </w:p>
    <w:p w14:paraId="59EDDB63" w14:textId="77777777" w:rsidR="000F3CE1" w:rsidRDefault="000F3CE1" w:rsidP="000F3CE1">
      <w:pPr>
        <w:bidi w:val="0"/>
        <w:rPr>
          <w:u w:val="single"/>
        </w:rPr>
      </w:pPr>
      <w:proofErr w:type="spellStart"/>
      <w:r>
        <w:t>Eliezer</w:t>
      </w:r>
      <w:proofErr w:type="spellEnd"/>
      <w:r>
        <w:t xml:space="preserve"> Don-</w:t>
      </w:r>
      <w:proofErr w:type="spellStart"/>
      <w:r>
        <w:t>Yehiya</w:t>
      </w:r>
      <w:proofErr w:type="spellEnd"/>
      <w:r>
        <w:t xml:space="preserve">, "Memory and Political Culture: Israeli Society and the Holocaust," in </w:t>
      </w:r>
      <w:r>
        <w:rPr>
          <w:u w:val="single"/>
        </w:rPr>
        <w:t xml:space="preserve">Modern Jews and their Musical Agendas, pp. 139-163. </w:t>
      </w:r>
    </w:p>
    <w:p w14:paraId="599F66A5" w14:textId="77777777" w:rsidR="000F3CE1" w:rsidRDefault="000F3CE1" w:rsidP="00472D7D">
      <w:pPr>
        <w:bidi w:val="0"/>
        <w:jc w:val="both"/>
      </w:pPr>
    </w:p>
    <w:p w14:paraId="3585915E" w14:textId="77777777" w:rsidR="00472D7D" w:rsidRPr="001A7602" w:rsidRDefault="00472D7D" w:rsidP="00472D7D">
      <w:pPr>
        <w:rPr>
          <w:rtl/>
        </w:rPr>
      </w:pPr>
    </w:p>
    <w:p w14:paraId="6026A048" w14:textId="77777777" w:rsidR="00472D7D" w:rsidRDefault="00472D7D" w:rsidP="00472D7D">
      <w:pPr>
        <w:rPr>
          <w:rtl/>
        </w:rPr>
      </w:pPr>
      <w:r>
        <w:rPr>
          <w:rtl/>
        </w:rPr>
        <w:br/>
      </w:r>
    </w:p>
    <w:p w14:paraId="44DFE1E4" w14:textId="77777777" w:rsidR="00472D7D" w:rsidRDefault="00472D7D" w:rsidP="00472D7D">
      <w:r>
        <w:rPr>
          <w:rtl/>
        </w:rPr>
        <w:br w:type="page"/>
      </w:r>
    </w:p>
    <w:p w14:paraId="5BE9CBB5" w14:textId="77777777" w:rsidR="00472D7D" w:rsidRDefault="00472D7D" w:rsidP="00472D7D"/>
    <w:p w14:paraId="3338BD77" w14:textId="77777777" w:rsidR="00472D7D" w:rsidRPr="009565AB" w:rsidRDefault="00472D7D" w:rsidP="00472D7D"/>
    <w:p w14:paraId="22C9487D" w14:textId="77777777" w:rsidR="00472D7D" w:rsidRDefault="00472D7D" w:rsidP="00472D7D"/>
    <w:p w14:paraId="1EEE971D" w14:textId="77777777" w:rsidR="008B0156" w:rsidRPr="00472D7D" w:rsidRDefault="008B0156"/>
    <w:sectPr w:rsidR="008B0156" w:rsidRPr="00472D7D" w:rsidSect="00363A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de 2000">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7D"/>
    <w:rsid w:val="000F3CE1"/>
    <w:rsid w:val="00363AA2"/>
    <w:rsid w:val="003836A9"/>
    <w:rsid w:val="00472D7D"/>
    <w:rsid w:val="00495A1A"/>
    <w:rsid w:val="0059052D"/>
    <w:rsid w:val="006212BC"/>
    <w:rsid w:val="00703C1C"/>
    <w:rsid w:val="007875A4"/>
    <w:rsid w:val="00846123"/>
    <w:rsid w:val="008562DE"/>
    <w:rsid w:val="008B0156"/>
    <w:rsid w:val="00995962"/>
    <w:rsid w:val="00C3735E"/>
    <w:rsid w:val="00D96952"/>
    <w:rsid w:val="00DC62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E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7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72D7D"/>
    <w:rPr>
      <w:sz w:val="20"/>
      <w:szCs w:val="20"/>
      <w:lang w:val="en-GB"/>
    </w:rPr>
  </w:style>
  <w:style w:type="character" w:customStyle="1" w:styleId="a4">
    <w:name w:val="טקסט הערת שוליים תו"/>
    <w:basedOn w:val="a0"/>
    <w:link w:val="a3"/>
    <w:semiHidden/>
    <w:rsid w:val="00472D7D"/>
    <w:rPr>
      <w:rFonts w:ascii="Times New Roman" w:eastAsia="Times New Roman" w:hAnsi="Times New Roman" w:cs="Times New Roman"/>
      <w:sz w:val="20"/>
      <w:szCs w:val="20"/>
      <w:lang w:val="en-GB"/>
    </w:rPr>
  </w:style>
  <w:style w:type="character" w:styleId="Hyperlink">
    <w:name w:val="Hyperlink"/>
    <w:basedOn w:val="a0"/>
    <w:rsid w:val="00472D7D"/>
    <w:rPr>
      <w:rFonts w:ascii="Arial" w:hAnsi="Arial" w:cs="Arial" w:hint="default"/>
      <w:strike w:val="0"/>
      <w:dstrike w:val="0"/>
      <w:color w:val="0000FF"/>
      <w:u w:val="none"/>
      <w:effect w:val="none"/>
    </w:rPr>
  </w:style>
  <w:style w:type="character" w:styleId="a5">
    <w:name w:val="Strong"/>
    <w:basedOn w:val="a0"/>
    <w:uiPriority w:val="22"/>
    <w:qFormat/>
    <w:rsid w:val="00472D7D"/>
    <w:rPr>
      <w:b/>
      <w:bCs/>
    </w:rPr>
  </w:style>
  <w:style w:type="paragraph" w:customStyle="1" w:styleId="Default">
    <w:name w:val="Default"/>
    <w:rsid w:val="00DC6263"/>
    <w:pPr>
      <w:widowControl w:val="0"/>
      <w:autoSpaceDE w:val="0"/>
      <w:autoSpaceDN w:val="0"/>
      <w:adjustRightInd w:val="0"/>
      <w:spacing w:after="0" w:line="240" w:lineRule="auto"/>
    </w:pPr>
    <w:rPr>
      <w:rFonts w:ascii="Code 2000" w:hAnsi="Code 2000" w:cs="Code 2000"/>
      <w:color w:val="000000"/>
      <w:sz w:val="24"/>
      <w:szCs w:val="24"/>
      <w:lang w:bidi="ar-SA"/>
    </w:rPr>
  </w:style>
  <w:style w:type="character" w:styleId="FollowedHyperlink">
    <w:name w:val="FollowedHyperlink"/>
    <w:basedOn w:val="a0"/>
    <w:uiPriority w:val="99"/>
    <w:semiHidden/>
    <w:unhideWhenUsed/>
    <w:rsid w:val="00DC6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7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72D7D"/>
    <w:rPr>
      <w:sz w:val="20"/>
      <w:szCs w:val="20"/>
      <w:lang w:val="en-GB"/>
    </w:rPr>
  </w:style>
  <w:style w:type="character" w:customStyle="1" w:styleId="a4">
    <w:name w:val="טקסט הערת שוליים תו"/>
    <w:basedOn w:val="a0"/>
    <w:link w:val="a3"/>
    <w:semiHidden/>
    <w:rsid w:val="00472D7D"/>
    <w:rPr>
      <w:rFonts w:ascii="Times New Roman" w:eastAsia="Times New Roman" w:hAnsi="Times New Roman" w:cs="Times New Roman"/>
      <w:sz w:val="20"/>
      <w:szCs w:val="20"/>
      <w:lang w:val="en-GB"/>
    </w:rPr>
  </w:style>
  <w:style w:type="character" w:styleId="Hyperlink">
    <w:name w:val="Hyperlink"/>
    <w:basedOn w:val="a0"/>
    <w:rsid w:val="00472D7D"/>
    <w:rPr>
      <w:rFonts w:ascii="Arial" w:hAnsi="Arial" w:cs="Arial" w:hint="default"/>
      <w:strike w:val="0"/>
      <w:dstrike w:val="0"/>
      <w:color w:val="0000FF"/>
      <w:u w:val="none"/>
      <w:effect w:val="none"/>
    </w:rPr>
  </w:style>
  <w:style w:type="character" w:styleId="a5">
    <w:name w:val="Strong"/>
    <w:basedOn w:val="a0"/>
    <w:uiPriority w:val="22"/>
    <w:qFormat/>
    <w:rsid w:val="00472D7D"/>
    <w:rPr>
      <w:b/>
      <w:bCs/>
    </w:rPr>
  </w:style>
  <w:style w:type="paragraph" w:customStyle="1" w:styleId="Default">
    <w:name w:val="Default"/>
    <w:rsid w:val="00DC6263"/>
    <w:pPr>
      <w:widowControl w:val="0"/>
      <w:autoSpaceDE w:val="0"/>
      <w:autoSpaceDN w:val="0"/>
      <w:adjustRightInd w:val="0"/>
      <w:spacing w:after="0" w:line="240" w:lineRule="auto"/>
    </w:pPr>
    <w:rPr>
      <w:rFonts w:ascii="Code 2000" w:hAnsi="Code 2000" w:cs="Code 2000"/>
      <w:color w:val="000000"/>
      <w:sz w:val="24"/>
      <w:szCs w:val="24"/>
      <w:lang w:bidi="ar-SA"/>
    </w:rPr>
  </w:style>
  <w:style w:type="character" w:styleId="FollowedHyperlink">
    <w:name w:val="FollowedHyperlink"/>
    <w:basedOn w:val="a0"/>
    <w:uiPriority w:val="99"/>
    <w:semiHidden/>
    <w:unhideWhenUsed/>
    <w:rsid w:val="00DC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pop20/34/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andfonline.com/loi/rpop20?open=34"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dfonline.com/action/doSearch?action=runSearch&amp;type=advanced&amp;result=true&amp;prevSearch=%2Bauthorsfield%3A(Stone%2C+D.)" TargetMode="External"/><Relationship Id="rId11" Type="http://schemas.openxmlformats.org/officeDocument/2006/relationships/customXml" Target="../customXml/item1.xml"/><Relationship Id="rId5" Type="http://schemas.openxmlformats.org/officeDocument/2006/relationships/hyperlink" Target="http://www.jstor.org/stable/pdfplus/29285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5RW434VQ3H3S-2091-855</_dlc_DocId>
    <_dlc_DocIdUrl xmlns="3fd1f8e8-d4eb-4fa9-9edf-90e13be718c2">
      <Url>https://in.bgu.ac.il/humsos/politics/_layouts/DocIdRedir.aspx?ID=5RW434VQ3H3S-2091-855</Url>
      <Description>5RW434VQ3H3S-2091-855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AD53B-7793-4A68-9EAC-FA67B43BCEAB}"/>
</file>

<file path=customXml/itemProps2.xml><?xml version="1.0" encoding="utf-8"?>
<ds:datastoreItem xmlns:ds="http://schemas.openxmlformats.org/officeDocument/2006/customXml" ds:itemID="{F93BDC28-781B-414C-B5D6-3724D7F4B98A}"/>
</file>

<file path=customXml/itemProps3.xml><?xml version="1.0" encoding="utf-8"?>
<ds:datastoreItem xmlns:ds="http://schemas.openxmlformats.org/officeDocument/2006/customXml" ds:itemID="{A5350111-7074-47D4-A682-B54535186436}"/>
</file>

<file path=customXml/itemProps4.xml><?xml version="1.0" encoding="utf-8"?>
<ds:datastoreItem xmlns:ds="http://schemas.openxmlformats.org/officeDocument/2006/customXml" ds:itemID="{26A95263-42B1-463C-A80F-F890613E442A}"/>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6810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yael nir</cp:lastModifiedBy>
  <cp:revision>2</cp:revision>
  <dcterms:created xsi:type="dcterms:W3CDTF">2012-10-29T09:57:00Z</dcterms:created>
  <dcterms:modified xsi:type="dcterms:W3CDTF">2012-10-29T09:57:00Z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03c1b98d-aa86-4497-b233-323788134eea</vt:lpwstr>
  </property>
</Properties>
</file>