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5B3" w:rsidRPr="00724374" w:rsidRDefault="001D55B3" w:rsidP="001D55B3">
      <w:pPr>
        <w:spacing w:line="360" w:lineRule="auto"/>
        <w:jc w:val="center"/>
        <w:rPr>
          <w:rFonts w:cs="David"/>
          <w:b/>
          <w:bCs/>
          <w:sz w:val="32"/>
          <w:szCs w:val="32"/>
          <w:lang w:val="de-DE"/>
        </w:rPr>
      </w:pPr>
      <w:r w:rsidRPr="00724374">
        <w:rPr>
          <w:rFonts w:cs="David" w:hint="cs"/>
          <w:b/>
          <w:bCs/>
          <w:sz w:val="32"/>
          <w:szCs w:val="32"/>
          <w:rtl/>
          <w:lang w:val="de-DE"/>
        </w:rPr>
        <w:t>סילבוס לקורס "תיאוריה חברתית ביקורתית"</w:t>
      </w:r>
    </w:p>
    <w:p w:rsidR="001D55B3" w:rsidRPr="00724374" w:rsidRDefault="001D55B3" w:rsidP="001D55B3">
      <w:pPr>
        <w:spacing w:line="360" w:lineRule="auto"/>
        <w:jc w:val="center"/>
        <w:rPr>
          <w:rFonts w:cs="David"/>
          <w:rtl/>
        </w:rPr>
      </w:pPr>
      <w:r w:rsidRPr="00724374">
        <w:rPr>
          <w:rFonts w:cs="David" w:hint="cs"/>
          <w:rtl/>
          <w:lang w:val="de-DE"/>
        </w:rPr>
        <w:t>איריס מאיר</w:t>
      </w:r>
    </w:p>
    <w:p w:rsidR="001D55B3" w:rsidRPr="00724374" w:rsidRDefault="001D55B3" w:rsidP="001D55B3">
      <w:pPr>
        <w:spacing w:line="360" w:lineRule="auto"/>
        <w:jc w:val="center"/>
        <w:rPr>
          <w:rFonts w:cs="David"/>
          <w:rtl/>
          <w:lang w:val="de-DE"/>
        </w:rPr>
      </w:pPr>
      <w:r w:rsidRPr="00724374">
        <w:rPr>
          <w:rFonts w:cs="David" w:hint="cs"/>
          <w:rtl/>
          <w:lang w:val="de-DE"/>
        </w:rPr>
        <w:t>סמסטר א' תשע"ד</w:t>
      </w:r>
    </w:p>
    <w:p w:rsidR="001D55B3" w:rsidRPr="00724374" w:rsidRDefault="001D55B3" w:rsidP="001D55B3">
      <w:pPr>
        <w:spacing w:line="360" w:lineRule="auto"/>
        <w:jc w:val="center"/>
        <w:rPr>
          <w:rFonts w:cs="David"/>
          <w:rtl/>
          <w:lang w:val="de-DE"/>
        </w:rPr>
      </w:pPr>
    </w:p>
    <w:p w:rsidR="001D55B3" w:rsidRPr="00724374" w:rsidRDefault="001D55B3" w:rsidP="001D55B3">
      <w:pPr>
        <w:bidi/>
        <w:spacing w:line="360" w:lineRule="auto"/>
        <w:jc w:val="both"/>
        <w:rPr>
          <w:rFonts w:cs="David"/>
          <w:b/>
          <w:bCs/>
          <w:lang w:val="de-DE"/>
        </w:rPr>
      </w:pPr>
    </w:p>
    <w:p w:rsidR="001D55B3" w:rsidRPr="00724374" w:rsidRDefault="001D55B3" w:rsidP="001D55B3">
      <w:pPr>
        <w:bidi/>
        <w:spacing w:line="360" w:lineRule="auto"/>
        <w:jc w:val="both"/>
        <w:rPr>
          <w:rFonts w:cs="David"/>
          <w:rtl/>
          <w:lang w:val="de-DE"/>
        </w:rPr>
      </w:pPr>
      <w:r w:rsidRPr="00724374">
        <w:rPr>
          <w:rFonts w:cs="David" w:hint="cs"/>
          <w:b/>
          <w:bCs/>
          <w:rtl/>
          <w:lang w:val="de-DE"/>
        </w:rPr>
        <w:t>תיאור השיעור</w:t>
      </w:r>
      <w:r w:rsidRPr="00724374">
        <w:rPr>
          <w:rFonts w:cs="David" w:hint="cs"/>
          <w:rtl/>
          <w:lang w:val="de-DE"/>
        </w:rPr>
        <w:t>:</w:t>
      </w:r>
    </w:p>
    <w:p w:rsidR="001D55B3" w:rsidRPr="00724374" w:rsidRDefault="001D55B3" w:rsidP="001D55B3">
      <w:pPr>
        <w:bidi/>
        <w:spacing w:line="360" w:lineRule="auto"/>
        <w:jc w:val="both"/>
        <w:rPr>
          <w:rFonts w:cs="David"/>
          <w:rtl/>
        </w:rPr>
      </w:pPr>
      <w:r w:rsidRPr="00724374">
        <w:rPr>
          <w:rFonts w:cs="David" w:hint="cs"/>
          <w:rtl/>
        </w:rPr>
        <w:t xml:space="preserve">תכלית התיאוריה החברתית ביקורתית, אשר התכוננה ככזו על ידי הוגי אסכולת פרנקפורט, לחולל, באמצעות הדיון הפילוסופי הביקורתי, את האפשרות לשינוי ממשי של המציאות.  בשיעור זה יוצגו סוגיות ופרקים מרכזיים בתולדות התיאוריה הביקורתית, החל משורשיה המוקדמים בהגות </w:t>
      </w:r>
      <w:proofErr w:type="spellStart"/>
      <w:r w:rsidRPr="00724374">
        <w:rPr>
          <w:rFonts w:cs="David" w:hint="cs"/>
          <w:rtl/>
        </w:rPr>
        <w:t>היגל</w:t>
      </w:r>
      <w:proofErr w:type="spellEnd"/>
      <w:r w:rsidRPr="00724374">
        <w:rPr>
          <w:rFonts w:cs="David" w:hint="cs"/>
          <w:rtl/>
        </w:rPr>
        <w:t xml:space="preserve"> ועד להוגי אסכולת פרנקפורט אשר טבעו את המונח. הסקירה תכלול מבוא קצר לשיטת </w:t>
      </w:r>
      <w:proofErr w:type="spellStart"/>
      <w:r w:rsidRPr="00724374">
        <w:rPr>
          <w:rFonts w:cs="David" w:hint="cs"/>
          <w:rtl/>
        </w:rPr>
        <w:t>היגל</w:t>
      </w:r>
      <w:proofErr w:type="spellEnd"/>
      <w:r w:rsidRPr="00724374">
        <w:rPr>
          <w:rFonts w:cs="David" w:hint="cs"/>
          <w:rtl/>
        </w:rPr>
        <w:t xml:space="preserve"> (תוך דגש על 'הדיאלקטיקה של האדון והעבד'); ביקורת הכלכלה המדינית של מארקס; מושג האידיאולוגיה של מארקס </w:t>
      </w:r>
      <w:proofErr w:type="spellStart"/>
      <w:r w:rsidRPr="00724374">
        <w:rPr>
          <w:rFonts w:cs="David" w:hint="cs"/>
          <w:rtl/>
        </w:rPr>
        <w:t>ואנגלס</w:t>
      </w:r>
      <w:proofErr w:type="spellEnd"/>
      <w:r w:rsidRPr="00724374">
        <w:rPr>
          <w:rFonts w:cs="David" w:hint="cs"/>
          <w:rtl/>
        </w:rPr>
        <w:t xml:space="preserve">; ערעור יסודות המחשבה הביקורתית בהגות ניטשה; תפישת החברה </w:t>
      </w:r>
      <w:proofErr w:type="spellStart"/>
      <w:r w:rsidRPr="00724374">
        <w:rPr>
          <w:rFonts w:cs="David" w:hint="cs"/>
          <w:rtl/>
        </w:rPr>
        <w:t>ה'חד</w:t>
      </w:r>
      <w:proofErr w:type="spellEnd"/>
      <w:r w:rsidRPr="00724374">
        <w:rPr>
          <w:rFonts w:cs="David" w:hint="cs"/>
          <w:rtl/>
        </w:rPr>
        <w:t xml:space="preserve"> ממדית' של מרקוזה וביקורת אבדן הרציונאליות בטקסטים של </w:t>
      </w:r>
      <w:proofErr w:type="spellStart"/>
      <w:r w:rsidRPr="00724374">
        <w:rPr>
          <w:rFonts w:cs="David" w:hint="cs"/>
          <w:rtl/>
        </w:rPr>
        <w:t>אדורנו</w:t>
      </w:r>
      <w:proofErr w:type="spellEnd"/>
      <w:r w:rsidRPr="00724374">
        <w:rPr>
          <w:rFonts w:cs="David" w:hint="cs"/>
          <w:rtl/>
        </w:rPr>
        <w:t xml:space="preserve"> </w:t>
      </w:r>
      <w:proofErr w:type="spellStart"/>
      <w:r w:rsidRPr="00724374">
        <w:rPr>
          <w:rFonts w:cs="David" w:hint="cs"/>
          <w:rtl/>
        </w:rPr>
        <w:t>והורקהיימר</w:t>
      </w:r>
      <w:proofErr w:type="spellEnd"/>
      <w:r w:rsidRPr="00724374">
        <w:rPr>
          <w:rFonts w:cs="David" w:hint="cs"/>
          <w:rtl/>
        </w:rPr>
        <w:t>.</w:t>
      </w:r>
    </w:p>
    <w:p w:rsidR="001D55B3" w:rsidRPr="00724374" w:rsidRDefault="001D55B3" w:rsidP="001D55B3">
      <w:pPr>
        <w:bidi/>
        <w:spacing w:line="360" w:lineRule="auto"/>
        <w:jc w:val="both"/>
        <w:rPr>
          <w:rFonts w:cs="David"/>
          <w:rtl/>
        </w:rPr>
      </w:pPr>
    </w:p>
    <w:p w:rsidR="001D55B3" w:rsidRPr="00724374" w:rsidRDefault="001D55B3" w:rsidP="001D55B3">
      <w:pPr>
        <w:bidi/>
        <w:spacing w:line="360" w:lineRule="auto"/>
        <w:jc w:val="both"/>
        <w:rPr>
          <w:rFonts w:cs="David"/>
          <w:rtl/>
          <w:lang w:val="de-DE"/>
        </w:rPr>
      </w:pPr>
    </w:p>
    <w:p w:rsidR="001D55B3" w:rsidRPr="00724374" w:rsidRDefault="001D55B3" w:rsidP="001D55B3">
      <w:pPr>
        <w:bidi/>
        <w:spacing w:line="360" w:lineRule="auto"/>
        <w:jc w:val="both"/>
        <w:rPr>
          <w:rFonts w:cs="David"/>
          <w:rtl/>
          <w:lang w:val="de-DE"/>
        </w:rPr>
      </w:pPr>
      <w:r w:rsidRPr="00724374">
        <w:rPr>
          <w:rFonts w:cs="David" w:hint="cs"/>
          <w:b/>
          <w:bCs/>
          <w:rtl/>
          <w:lang w:val="de-DE"/>
        </w:rPr>
        <w:t>פירוט נושאי השיעורים</w:t>
      </w:r>
      <w:r w:rsidRPr="00724374">
        <w:rPr>
          <w:rFonts w:cs="David" w:hint="cs"/>
          <w:rtl/>
          <w:lang w:val="de-DE"/>
        </w:rPr>
        <w:t>:</w:t>
      </w:r>
    </w:p>
    <w:p w:rsidR="001D55B3" w:rsidRPr="00724374" w:rsidRDefault="001D55B3" w:rsidP="001D55B3">
      <w:pPr>
        <w:bidi/>
        <w:spacing w:line="360" w:lineRule="auto"/>
        <w:jc w:val="both"/>
        <w:rPr>
          <w:rFonts w:cs="David"/>
          <w:b/>
          <w:bCs/>
          <w:rtl/>
          <w:lang w:val="de-DE"/>
        </w:rPr>
      </w:pPr>
      <w:r w:rsidRPr="00724374">
        <w:rPr>
          <w:rFonts w:cs="David" w:hint="cs"/>
          <w:b/>
          <w:bCs/>
          <w:rtl/>
          <w:lang w:val="de-DE"/>
        </w:rPr>
        <w:t xml:space="preserve">שיעור 1 – </w:t>
      </w:r>
      <w:proofErr w:type="spellStart"/>
      <w:r w:rsidRPr="00724374">
        <w:rPr>
          <w:rFonts w:cs="David" w:hint="cs"/>
          <w:b/>
          <w:bCs/>
          <w:rtl/>
          <w:lang w:val="de-DE"/>
        </w:rPr>
        <w:t>היגל</w:t>
      </w:r>
      <w:proofErr w:type="spellEnd"/>
      <w:r w:rsidRPr="00724374">
        <w:rPr>
          <w:rFonts w:cs="David" w:hint="cs"/>
          <w:b/>
          <w:bCs/>
          <w:rtl/>
          <w:lang w:val="de-DE"/>
        </w:rPr>
        <w:t xml:space="preserve">: </w:t>
      </w:r>
      <w:r w:rsidRPr="00724374">
        <w:rPr>
          <w:rFonts w:cs="David" w:hint="cs"/>
          <w:rtl/>
          <w:lang w:val="de-DE"/>
        </w:rPr>
        <w:t>מבוא מושגי ותפישת ההתפתחות הדיאלקטית.</w:t>
      </w:r>
    </w:p>
    <w:p w:rsidR="001D55B3" w:rsidRPr="00724374" w:rsidRDefault="001D55B3" w:rsidP="001D55B3">
      <w:pPr>
        <w:bidi/>
        <w:spacing w:line="360" w:lineRule="auto"/>
        <w:jc w:val="both"/>
        <w:rPr>
          <w:rFonts w:cs="David"/>
          <w:rtl/>
          <w:lang w:val="de-DE"/>
        </w:rPr>
      </w:pPr>
      <w:r w:rsidRPr="00724374">
        <w:rPr>
          <w:rFonts w:cs="David" w:hint="cs"/>
          <w:b/>
          <w:bCs/>
          <w:rtl/>
          <w:lang w:val="de-DE"/>
        </w:rPr>
        <w:t xml:space="preserve">שיעור 2 – </w:t>
      </w:r>
      <w:proofErr w:type="spellStart"/>
      <w:r w:rsidRPr="00724374">
        <w:rPr>
          <w:rFonts w:cs="David" w:hint="cs"/>
          <w:b/>
          <w:bCs/>
          <w:rtl/>
          <w:lang w:val="de-DE"/>
        </w:rPr>
        <w:t>היגל</w:t>
      </w:r>
      <w:proofErr w:type="spellEnd"/>
      <w:r w:rsidRPr="00724374">
        <w:rPr>
          <w:rFonts w:cs="David" w:hint="cs"/>
          <w:b/>
          <w:bCs/>
          <w:rtl/>
          <w:lang w:val="de-DE"/>
        </w:rPr>
        <w:t xml:space="preserve">: </w:t>
      </w:r>
      <w:r w:rsidRPr="00724374">
        <w:rPr>
          <w:rFonts w:cs="David" w:hint="cs"/>
          <w:rtl/>
          <w:lang w:val="de-DE"/>
        </w:rPr>
        <w:t xml:space="preserve">על </w:t>
      </w:r>
      <w:r w:rsidRPr="00724374">
        <w:rPr>
          <w:rFonts w:cs="David" w:hint="cs"/>
          <w:rtl/>
        </w:rPr>
        <w:t>"עצמאותה ואי עצמאותה של התודעה העצמית: אדנות ועבדות"</w:t>
      </w:r>
      <w:r w:rsidRPr="00724374">
        <w:rPr>
          <w:rFonts w:cs="David" w:hint="cs"/>
          <w:b/>
          <w:bCs/>
          <w:rtl/>
          <w:lang w:val="de-DE"/>
        </w:rPr>
        <w:t>.</w:t>
      </w:r>
    </w:p>
    <w:p w:rsidR="001D55B3" w:rsidRPr="00724374" w:rsidRDefault="001D55B3" w:rsidP="0058573D">
      <w:pPr>
        <w:bidi/>
        <w:spacing w:line="360" w:lineRule="auto"/>
        <w:jc w:val="both"/>
        <w:rPr>
          <w:rFonts w:cs="David"/>
          <w:rtl/>
          <w:lang w:val="de-DE"/>
        </w:rPr>
      </w:pPr>
      <w:r w:rsidRPr="00724374">
        <w:rPr>
          <w:rFonts w:cs="David" w:hint="cs"/>
          <w:b/>
          <w:bCs/>
          <w:rtl/>
          <w:lang w:val="de-DE"/>
        </w:rPr>
        <w:t xml:space="preserve">שיעור 3 – מארקס: </w:t>
      </w:r>
      <w:r w:rsidRPr="00724374">
        <w:rPr>
          <w:rFonts w:cs="David" w:hint="cs"/>
          <w:rtl/>
          <w:lang w:val="de-DE"/>
        </w:rPr>
        <w:t xml:space="preserve">תפישת האדם של מארקס; </w:t>
      </w:r>
      <w:r w:rsidR="0058573D" w:rsidRPr="00724374">
        <w:rPr>
          <w:rFonts w:cs="David" w:hint="cs"/>
          <w:rtl/>
          <w:lang w:val="de-DE"/>
        </w:rPr>
        <w:t xml:space="preserve">מושג העבודה; </w:t>
      </w:r>
      <w:r w:rsidRPr="00724374">
        <w:rPr>
          <w:rFonts w:cs="David" w:hint="cs"/>
          <w:rtl/>
          <w:lang w:val="de-DE"/>
        </w:rPr>
        <w:t xml:space="preserve">הביקורת על הקפיטליזם; </w:t>
      </w:r>
      <w:r w:rsidR="0058573D" w:rsidRPr="00724374">
        <w:rPr>
          <w:rFonts w:cs="David" w:hint="cs"/>
          <w:rtl/>
          <w:lang w:val="de-DE"/>
        </w:rPr>
        <w:t>"ממלכת החירות"</w:t>
      </w:r>
      <w:r w:rsidRPr="00724374">
        <w:rPr>
          <w:rFonts w:cs="David" w:hint="cs"/>
          <w:rtl/>
          <w:lang w:val="de-DE"/>
        </w:rPr>
        <w:t xml:space="preserve">. </w:t>
      </w:r>
    </w:p>
    <w:p w:rsidR="001D55B3" w:rsidRPr="00724374" w:rsidRDefault="001D55B3" w:rsidP="0058573D">
      <w:pPr>
        <w:bidi/>
        <w:spacing w:line="360" w:lineRule="auto"/>
        <w:jc w:val="both"/>
        <w:rPr>
          <w:rFonts w:cs="David"/>
          <w:rtl/>
          <w:lang w:val="de-DE"/>
        </w:rPr>
      </w:pPr>
      <w:r w:rsidRPr="00724374">
        <w:rPr>
          <w:rFonts w:cs="David" w:hint="cs"/>
          <w:b/>
          <w:bCs/>
          <w:rtl/>
          <w:lang w:val="de-DE"/>
        </w:rPr>
        <w:t>שיעור 4 – ניטשה:</w:t>
      </w:r>
      <w:r w:rsidRPr="00724374">
        <w:rPr>
          <w:rFonts w:cs="David" w:hint="cs"/>
          <w:rtl/>
          <w:lang w:val="de-DE"/>
        </w:rPr>
        <w:t xml:space="preserve"> הביקורת על החברה הבורגנית ועל ה</w:t>
      </w:r>
      <w:r w:rsidR="0058573D" w:rsidRPr="00724374">
        <w:rPr>
          <w:rFonts w:cs="David" w:hint="cs"/>
          <w:rtl/>
          <w:lang w:val="de-DE"/>
        </w:rPr>
        <w:t xml:space="preserve">קיום האנושי </w:t>
      </w:r>
      <w:r w:rsidRPr="00724374">
        <w:rPr>
          <w:rFonts w:cs="David" w:hint="cs"/>
          <w:rtl/>
          <w:lang w:val="de-DE"/>
        </w:rPr>
        <w:t>הלא</w:t>
      </w:r>
      <w:r w:rsidR="0058573D" w:rsidRPr="00724374">
        <w:rPr>
          <w:rFonts w:cs="David" w:hint="cs"/>
          <w:rtl/>
          <w:lang w:val="de-DE"/>
        </w:rPr>
        <w:t>-</w:t>
      </w:r>
      <w:r w:rsidRPr="00724374">
        <w:rPr>
          <w:rFonts w:cs="David" w:hint="cs"/>
          <w:rtl/>
          <w:lang w:val="de-DE"/>
        </w:rPr>
        <w:t>אותנטי.</w:t>
      </w:r>
    </w:p>
    <w:p w:rsidR="001D55B3" w:rsidRPr="00724374" w:rsidRDefault="001D55B3" w:rsidP="0058573D">
      <w:pPr>
        <w:bidi/>
        <w:spacing w:line="360" w:lineRule="auto"/>
        <w:jc w:val="both"/>
        <w:rPr>
          <w:rFonts w:cs="David"/>
          <w:b/>
          <w:bCs/>
          <w:rtl/>
          <w:lang w:val="de-DE"/>
        </w:rPr>
      </w:pPr>
      <w:r w:rsidRPr="00724374">
        <w:rPr>
          <w:rFonts w:cs="David" w:hint="cs"/>
          <w:b/>
          <w:bCs/>
          <w:rtl/>
          <w:lang w:val="de-DE"/>
        </w:rPr>
        <w:t xml:space="preserve">שיעור 5 – </w:t>
      </w:r>
      <w:proofErr w:type="spellStart"/>
      <w:r w:rsidRPr="00724374">
        <w:rPr>
          <w:rFonts w:cs="David" w:hint="cs"/>
          <w:b/>
          <w:bCs/>
          <w:rtl/>
          <w:lang w:val="de-DE"/>
        </w:rPr>
        <w:t>אדורנו</w:t>
      </w:r>
      <w:proofErr w:type="spellEnd"/>
      <w:r w:rsidRPr="00724374">
        <w:rPr>
          <w:rFonts w:cs="David" w:hint="cs"/>
          <w:b/>
          <w:bCs/>
          <w:rtl/>
          <w:lang w:val="de-DE"/>
        </w:rPr>
        <w:t xml:space="preserve"> </w:t>
      </w:r>
      <w:proofErr w:type="spellStart"/>
      <w:r w:rsidRPr="00724374">
        <w:rPr>
          <w:rFonts w:cs="David" w:hint="cs"/>
          <w:b/>
          <w:bCs/>
          <w:rtl/>
          <w:lang w:val="de-DE"/>
        </w:rPr>
        <w:t>והורקהיימר</w:t>
      </w:r>
      <w:proofErr w:type="spellEnd"/>
      <w:r w:rsidRPr="00724374">
        <w:rPr>
          <w:rFonts w:cs="David" w:hint="cs"/>
          <w:b/>
          <w:bCs/>
          <w:rtl/>
          <w:lang w:val="de-DE"/>
        </w:rPr>
        <w:t>:</w:t>
      </w:r>
      <w:r w:rsidRPr="00724374">
        <w:rPr>
          <w:rFonts w:cs="David" w:hint="cs"/>
          <w:rtl/>
          <w:lang w:val="de-DE"/>
        </w:rPr>
        <w:t xml:space="preserve"> </w:t>
      </w:r>
      <w:r w:rsidR="0058573D" w:rsidRPr="00724374">
        <w:rPr>
          <w:rFonts w:cs="David" w:hint="cs"/>
          <w:rtl/>
          <w:lang w:val="de-DE"/>
        </w:rPr>
        <w:t>דיון ב</w:t>
      </w:r>
      <w:r w:rsidRPr="00724374">
        <w:rPr>
          <w:rFonts w:cs="David" w:hint="cs"/>
          <w:rtl/>
          <w:lang w:val="de-DE"/>
        </w:rPr>
        <w:t xml:space="preserve">מושג </w:t>
      </w:r>
      <w:r w:rsidR="0058573D" w:rsidRPr="00724374">
        <w:rPr>
          <w:rFonts w:cs="David" w:hint="cs"/>
          <w:rtl/>
          <w:lang w:val="de-DE"/>
        </w:rPr>
        <w:t>"</w:t>
      </w:r>
      <w:r w:rsidRPr="00724374">
        <w:rPr>
          <w:rFonts w:cs="David" w:hint="cs"/>
          <w:rtl/>
          <w:lang w:val="de-DE"/>
        </w:rPr>
        <w:t>תיאוריה ביקורתית</w:t>
      </w:r>
      <w:r w:rsidR="0058573D" w:rsidRPr="00724374">
        <w:rPr>
          <w:rFonts w:cs="David" w:hint="cs"/>
          <w:rtl/>
          <w:lang w:val="de-DE"/>
        </w:rPr>
        <w:t>"</w:t>
      </w:r>
      <w:r w:rsidRPr="00724374">
        <w:rPr>
          <w:rFonts w:cs="David" w:hint="cs"/>
          <w:rtl/>
          <w:lang w:val="de-DE"/>
        </w:rPr>
        <w:t>.</w:t>
      </w:r>
    </w:p>
    <w:p w:rsidR="001D55B3" w:rsidRPr="00724374" w:rsidRDefault="001D55B3" w:rsidP="0058573D">
      <w:pPr>
        <w:bidi/>
        <w:spacing w:line="360" w:lineRule="auto"/>
        <w:jc w:val="both"/>
        <w:rPr>
          <w:rFonts w:cs="David"/>
          <w:rtl/>
          <w:lang w:val="de-DE"/>
        </w:rPr>
      </w:pPr>
      <w:r w:rsidRPr="00724374">
        <w:rPr>
          <w:rFonts w:cs="David" w:hint="cs"/>
          <w:b/>
          <w:bCs/>
          <w:rtl/>
          <w:lang w:val="de-DE"/>
        </w:rPr>
        <w:t xml:space="preserve">שיעור 6 – </w:t>
      </w:r>
      <w:proofErr w:type="spellStart"/>
      <w:r w:rsidRPr="00724374">
        <w:rPr>
          <w:rFonts w:cs="David" w:hint="cs"/>
          <w:b/>
          <w:bCs/>
          <w:rtl/>
          <w:lang w:val="de-DE"/>
        </w:rPr>
        <w:t>אדורנו</w:t>
      </w:r>
      <w:proofErr w:type="spellEnd"/>
      <w:r w:rsidRPr="00724374">
        <w:rPr>
          <w:rFonts w:cs="David" w:hint="cs"/>
          <w:b/>
          <w:bCs/>
          <w:rtl/>
          <w:lang w:val="de-DE"/>
        </w:rPr>
        <w:t xml:space="preserve"> </w:t>
      </w:r>
      <w:proofErr w:type="spellStart"/>
      <w:r w:rsidRPr="00724374">
        <w:rPr>
          <w:rFonts w:cs="David" w:hint="cs"/>
          <w:b/>
          <w:bCs/>
          <w:rtl/>
          <w:lang w:val="de-DE"/>
        </w:rPr>
        <w:t>והורקהיימר</w:t>
      </w:r>
      <w:proofErr w:type="spellEnd"/>
      <w:r w:rsidRPr="00724374">
        <w:rPr>
          <w:rFonts w:cs="David" w:hint="cs"/>
          <w:b/>
          <w:bCs/>
          <w:rtl/>
          <w:lang w:val="de-DE"/>
        </w:rPr>
        <w:t xml:space="preserve">: </w:t>
      </w:r>
      <w:r w:rsidRPr="00724374">
        <w:rPr>
          <w:rFonts w:cs="David" w:hint="cs"/>
          <w:rtl/>
          <w:lang w:val="de-DE"/>
        </w:rPr>
        <w:t>על הדיאלקטיקה של ה</w:t>
      </w:r>
      <w:r w:rsidR="0058573D" w:rsidRPr="00724374">
        <w:rPr>
          <w:rFonts w:cs="David" w:hint="cs"/>
          <w:rtl/>
          <w:lang w:val="de-DE"/>
        </w:rPr>
        <w:t>נאורות</w:t>
      </w:r>
      <w:r w:rsidRPr="00724374">
        <w:rPr>
          <w:rFonts w:cs="David" w:hint="cs"/>
          <w:rtl/>
          <w:lang w:val="de-DE"/>
        </w:rPr>
        <w:t xml:space="preserve">; חרושת התרבות; ביקורת הפוזיטיביזם. </w:t>
      </w:r>
    </w:p>
    <w:p w:rsidR="001D55B3" w:rsidRPr="00724374" w:rsidRDefault="001D55B3" w:rsidP="0058573D">
      <w:pPr>
        <w:bidi/>
        <w:spacing w:line="360" w:lineRule="auto"/>
        <w:jc w:val="both"/>
        <w:rPr>
          <w:rFonts w:cs="David"/>
          <w:rtl/>
          <w:lang w:val="de-DE"/>
        </w:rPr>
      </w:pPr>
      <w:r w:rsidRPr="00724374">
        <w:rPr>
          <w:rFonts w:cs="David" w:hint="cs"/>
          <w:b/>
          <w:bCs/>
          <w:rtl/>
          <w:lang w:val="de-DE"/>
        </w:rPr>
        <w:t xml:space="preserve">שיעור 7 – </w:t>
      </w:r>
      <w:proofErr w:type="spellStart"/>
      <w:r w:rsidRPr="00724374">
        <w:rPr>
          <w:rFonts w:cs="David" w:hint="cs"/>
          <w:b/>
          <w:bCs/>
          <w:rtl/>
          <w:lang w:val="de-DE"/>
        </w:rPr>
        <w:t>הורקהיימר</w:t>
      </w:r>
      <w:proofErr w:type="spellEnd"/>
      <w:r w:rsidRPr="00724374">
        <w:rPr>
          <w:rFonts w:cs="David" w:hint="cs"/>
          <w:b/>
          <w:bCs/>
          <w:rtl/>
          <w:lang w:val="de-DE"/>
        </w:rPr>
        <w:t xml:space="preserve">: </w:t>
      </w:r>
      <w:r w:rsidRPr="00724374">
        <w:rPr>
          <w:rFonts w:cs="David" w:hint="cs"/>
          <w:rtl/>
          <w:lang w:val="de-DE"/>
        </w:rPr>
        <w:t xml:space="preserve">על התבונה האינסטרומנטלית </w:t>
      </w:r>
      <w:r w:rsidR="0058573D" w:rsidRPr="00724374">
        <w:rPr>
          <w:rFonts w:cs="David" w:hint="cs"/>
          <w:rtl/>
          <w:lang w:val="de-DE"/>
        </w:rPr>
        <w:t>ו</w:t>
      </w:r>
      <w:r w:rsidRPr="00724374">
        <w:rPr>
          <w:rFonts w:cs="David" w:hint="cs"/>
          <w:rtl/>
          <w:lang w:val="de-DE"/>
        </w:rPr>
        <w:t xml:space="preserve">על שקיעת האינדיבידואל. </w:t>
      </w:r>
    </w:p>
    <w:p w:rsidR="001D55B3" w:rsidRPr="00724374" w:rsidRDefault="001D55B3" w:rsidP="001D55B3">
      <w:pPr>
        <w:bidi/>
        <w:spacing w:line="360" w:lineRule="auto"/>
        <w:jc w:val="both"/>
        <w:rPr>
          <w:rFonts w:cs="David"/>
          <w:rtl/>
          <w:lang w:val="de-DE"/>
        </w:rPr>
      </w:pPr>
      <w:r w:rsidRPr="00724374">
        <w:rPr>
          <w:rFonts w:cs="David" w:hint="cs"/>
          <w:b/>
          <w:bCs/>
          <w:rtl/>
          <w:lang w:val="de-DE"/>
        </w:rPr>
        <w:t>שיעור 8 – מרקוזה:</w:t>
      </w:r>
      <w:r w:rsidRPr="00724374">
        <w:rPr>
          <w:rFonts w:cs="David" w:hint="cs"/>
          <w:rtl/>
          <w:lang w:val="de-DE"/>
        </w:rPr>
        <w:t xml:space="preserve"> תיאור החברה החד-ממדית ודיון בבעיית השחרור בחברה חד-ממדית.</w:t>
      </w:r>
    </w:p>
    <w:p w:rsidR="001D55B3" w:rsidRPr="00724374" w:rsidRDefault="001D55B3" w:rsidP="00646C06">
      <w:pPr>
        <w:bidi/>
        <w:spacing w:line="360" w:lineRule="auto"/>
        <w:jc w:val="both"/>
        <w:rPr>
          <w:rFonts w:cs="David"/>
          <w:rtl/>
          <w:lang w:val="de-DE"/>
        </w:rPr>
      </w:pPr>
      <w:r w:rsidRPr="00724374">
        <w:rPr>
          <w:rFonts w:cs="David" w:hint="cs"/>
          <w:b/>
          <w:bCs/>
          <w:rtl/>
          <w:lang w:val="de-DE"/>
        </w:rPr>
        <w:t xml:space="preserve">שיעור 9 – מרקוזה: </w:t>
      </w:r>
      <w:r w:rsidR="0058573D" w:rsidRPr="00724374">
        <w:rPr>
          <w:rFonts w:cs="David" w:hint="cs"/>
          <w:rtl/>
          <w:lang w:val="de-DE"/>
        </w:rPr>
        <w:t>על אפשרות ה</w:t>
      </w:r>
      <w:r w:rsidR="00646C06">
        <w:rPr>
          <w:rFonts w:cs="David" w:hint="cs"/>
          <w:rtl/>
          <w:lang w:val="de-DE"/>
        </w:rPr>
        <w:t xml:space="preserve">תמורה </w:t>
      </w:r>
      <w:r w:rsidR="0058573D" w:rsidRPr="00724374">
        <w:rPr>
          <w:rFonts w:cs="David" w:hint="cs"/>
          <w:rtl/>
          <w:lang w:val="de-DE"/>
        </w:rPr>
        <w:t>הביולוגי</w:t>
      </w:r>
      <w:r w:rsidR="00646C06">
        <w:rPr>
          <w:rFonts w:cs="David" w:hint="cs"/>
          <w:rtl/>
          <w:lang w:val="de-DE"/>
        </w:rPr>
        <w:t>ת</w:t>
      </w:r>
      <w:r w:rsidR="0058573D" w:rsidRPr="00724374">
        <w:rPr>
          <w:rFonts w:cs="David" w:hint="cs"/>
          <w:rtl/>
          <w:lang w:val="de-DE"/>
        </w:rPr>
        <w:t xml:space="preserve"> </w:t>
      </w:r>
      <w:bookmarkStart w:id="0" w:name="_GoBack"/>
      <w:bookmarkEnd w:id="0"/>
      <w:r w:rsidR="0058573D" w:rsidRPr="00724374">
        <w:rPr>
          <w:rFonts w:cs="David" w:hint="cs"/>
          <w:rtl/>
          <w:lang w:val="de-DE"/>
        </w:rPr>
        <w:t xml:space="preserve">של האדם נוכח "עקרון הביצוע ההישגי" </w:t>
      </w:r>
      <w:proofErr w:type="spellStart"/>
      <w:r w:rsidR="0058573D" w:rsidRPr="00724374">
        <w:rPr>
          <w:rFonts w:cs="David" w:hint="cs"/>
          <w:rtl/>
          <w:lang w:val="de-DE"/>
        </w:rPr>
        <w:t>ו"הטרמידור</w:t>
      </w:r>
      <w:proofErr w:type="spellEnd"/>
      <w:r w:rsidR="0058573D" w:rsidRPr="00724374">
        <w:rPr>
          <w:rFonts w:cs="David" w:hint="cs"/>
          <w:rtl/>
          <w:lang w:val="de-DE"/>
        </w:rPr>
        <w:t xml:space="preserve"> הנפשי". </w:t>
      </w:r>
      <w:r w:rsidRPr="00724374">
        <w:rPr>
          <w:rFonts w:cs="David" w:hint="cs"/>
          <w:rtl/>
          <w:lang w:val="de-DE"/>
        </w:rPr>
        <w:t xml:space="preserve"> </w:t>
      </w:r>
    </w:p>
    <w:p w:rsidR="001D55B3" w:rsidRPr="00724374" w:rsidRDefault="001D55B3" w:rsidP="0058573D">
      <w:pPr>
        <w:bidi/>
        <w:spacing w:line="360" w:lineRule="auto"/>
        <w:jc w:val="both"/>
        <w:rPr>
          <w:rFonts w:cs="David"/>
          <w:rtl/>
          <w:lang w:val="de-DE"/>
        </w:rPr>
      </w:pPr>
      <w:r w:rsidRPr="00724374">
        <w:rPr>
          <w:rFonts w:cs="David" w:hint="cs"/>
          <w:b/>
          <w:bCs/>
          <w:rtl/>
          <w:lang w:val="de-DE"/>
        </w:rPr>
        <w:t xml:space="preserve">שיעור </w:t>
      </w:r>
      <w:r w:rsidR="0058573D" w:rsidRPr="00724374">
        <w:rPr>
          <w:rFonts w:cs="David" w:hint="cs"/>
          <w:b/>
          <w:bCs/>
          <w:rtl/>
          <w:lang w:val="de-DE"/>
        </w:rPr>
        <w:t>11-</w:t>
      </w:r>
      <w:r w:rsidRPr="00724374">
        <w:rPr>
          <w:rFonts w:cs="David" w:hint="cs"/>
          <w:b/>
          <w:bCs/>
          <w:rtl/>
          <w:lang w:val="de-DE"/>
        </w:rPr>
        <w:t xml:space="preserve">10 – </w:t>
      </w:r>
      <w:r w:rsidR="0058573D" w:rsidRPr="00724374">
        <w:rPr>
          <w:rFonts w:cs="David" w:hint="cs"/>
          <w:b/>
          <w:bCs/>
          <w:rtl/>
          <w:lang w:val="de-DE"/>
        </w:rPr>
        <w:t>פרום:</w:t>
      </w:r>
      <w:r w:rsidR="0058573D" w:rsidRPr="00724374">
        <w:rPr>
          <w:rFonts w:cs="David" w:hint="cs"/>
          <w:rtl/>
          <w:lang w:val="de-DE"/>
        </w:rPr>
        <w:t xml:space="preserve"> על משמעותה של "תורת זכות האם" בימינו ואפשרויות השחרור הטמונות בה.</w:t>
      </w:r>
    </w:p>
    <w:p w:rsidR="001D55B3" w:rsidRPr="00724374" w:rsidRDefault="0058573D" w:rsidP="0058573D">
      <w:pPr>
        <w:bidi/>
        <w:spacing w:line="360" w:lineRule="auto"/>
        <w:jc w:val="both"/>
        <w:rPr>
          <w:rFonts w:cs="David"/>
          <w:rtl/>
          <w:lang w:val="de-DE"/>
        </w:rPr>
      </w:pPr>
      <w:r w:rsidRPr="00724374">
        <w:rPr>
          <w:rFonts w:cs="David" w:hint="cs"/>
          <w:b/>
          <w:bCs/>
          <w:rtl/>
          <w:lang w:val="de-DE"/>
        </w:rPr>
        <w:t xml:space="preserve">שיעור 12 </w:t>
      </w:r>
      <w:r w:rsidRPr="00724374">
        <w:rPr>
          <w:rFonts w:cs="David"/>
          <w:b/>
          <w:bCs/>
          <w:rtl/>
          <w:lang w:val="de-DE"/>
        </w:rPr>
        <w:t>–</w:t>
      </w:r>
      <w:r w:rsidRPr="00724374">
        <w:rPr>
          <w:rFonts w:cs="David" w:hint="cs"/>
          <w:b/>
          <w:bCs/>
          <w:rtl/>
          <w:lang w:val="de-DE"/>
        </w:rPr>
        <w:t xml:space="preserve"> בלוך: </w:t>
      </w:r>
      <w:r w:rsidRPr="00724374">
        <w:rPr>
          <w:rFonts w:cs="David" w:hint="cs"/>
          <w:rtl/>
          <w:lang w:val="de-DE"/>
        </w:rPr>
        <w:t xml:space="preserve">פירוש מושג התקווה כאפשרות ריאלית המתווכת בין התיאוריה </w:t>
      </w:r>
      <w:proofErr w:type="spellStart"/>
      <w:r w:rsidRPr="00724374">
        <w:rPr>
          <w:rFonts w:cs="David" w:hint="cs"/>
          <w:rtl/>
          <w:lang w:val="de-DE"/>
        </w:rPr>
        <w:t>לפראקסיס</w:t>
      </w:r>
      <w:proofErr w:type="spellEnd"/>
      <w:r w:rsidRPr="00724374">
        <w:rPr>
          <w:rFonts w:cs="David" w:hint="cs"/>
          <w:rtl/>
          <w:lang w:val="de-DE"/>
        </w:rPr>
        <w:t>.</w:t>
      </w:r>
    </w:p>
    <w:p w:rsidR="0058573D" w:rsidRPr="00724374" w:rsidRDefault="0058573D" w:rsidP="0058573D">
      <w:pPr>
        <w:bidi/>
        <w:spacing w:line="360" w:lineRule="auto"/>
        <w:jc w:val="both"/>
        <w:rPr>
          <w:rFonts w:cs="David"/>
          <w:b/>
          <w:bCs/>
          <w:rtl/>
          <w:lang w:val="de-DE"/>
        </w:rPr>
      </w:pPr>
    </w:p>
    <w:p w:rsidR="001D55B3" w:rsidRPr="00724374" w:rsidRDefault="001D55B3" w:rsidP="001D55B3">
      <w:pPr>
        <w:bidi/>
        <w:spacing w:line="360" w:lineRule="auto"/>
        <w:jc w:val="both"/>
        <w:rPr>
          <w:rFonts w:cs="David"/>
          <w:b/>
          <w:bCs/>
          <w:rtl/>
          <w:lang w:val="de-DE"/>
        </w:rPr>
      </w:pPr>
      <w:r w:rsidRPr="00724374">
        <w:rPr>
          <w:rFonts w:cs="David" w:hint="cs"/>
          <w:b/>
          <w:bCs/>
          <w:rtl/>
          <w:lang w:val="de-DE"/>
        </w:rPr>
        <w:t>רשימת קריאה של ספרות ראשונית:</w:t>
      </w:r>
    </w:p>
    <w:p w:rsidR="00E15319" w:rsidRPr="00724374" w:rsidRDefault="00E15319" w:rsidP="00724374">
      <w:pPr>
        <w:bidi/>
        <w:spacing w:line="360" w:lineRule="auto"/>
        <w:jc w:val="both"/>
        <w:rPr>
          <w:rFonts w:cs="David"/>
          <w:rtl/>
          <w:lang w:val="de-DE"/>
        </w:rPr>
      </w:pPr>
      <w:proofErr w:type="spellStart"/>
      <w:r w:rsidRPr="00724374">
        <w:rPr>
          <w:rFonts w:cs="David" w:hint="cs"/>
          <w:rtl/>
        </w:rPr>
        <w:t>אדורנו</w:t>
      </w:r>
      <w:proofErr w:type="spellEnd"/>
      <w:r w:rsidRPr="00724374">
        <w:rPr>
          <w:rFonts w:cs="David" w:hint="cs"/>
          <w:rtl/>
        </w:rPr>
        <w:t>, ת</w:t>
      </w:r>
      <w:r w:rsidR="00467666" w:rsidRPr="00724374">
        <w:rPr>
          <w:rFonts w:cs="David" w:hint="cs"/>
          <w:rtl/>
        </w:rPr>
        <w:t>.,</w:t>
      </w:r>
      <w:r w:rsidRPr="00724374">
        <w:rPr>
          <w:rFonts w:cs="David" w:hint="cs"/>
          <w:rtl/>
        </w:rPr>
        <w:t xml:space="preserve"> </w:t>
      </w:r>
      <w:proofErr w:type="spellStart"/>
      <w:r w:rsidRPr="00724374">
        <w:rPr>
          <w:rFonts w:cs="David" w:hint="cs"/>
          <w:rtl/>
        </w:rPr>
        <w:t>והורקהיימר</w:t>
      </w:r>
      <w:proofErr w:type="spellEnd"/>
      <w:r w:rsidRPr="00724374">
        <w:rPr>
          <w:rFonts w:cs="David" w:hint="cs"/>
          <w:rtl/>
        </w:rPr>
        <w:t xml:space="preserve">, </w:t>
      </w:r>
      <w:r w:rsidR="00467666" w:rsidRPr="00724374">
        <w:rPr>
          <w:rFonts w:cs="David" w:hint="cs"/>
          <w:rtl/>
        </w:rPr>
        <w:t xml:space="preserve">מ., </w:t>
      </w:r>
      <w:r w:rsidRPr="00724374">
        <w:rPr>
          <w:rFonts w:cs="David" w:hint="cs"/>
          <w:b/>
          <w:i/>
          <w:iCs/>
          <w:rtl/>
        </w:rPr>
        <w:t>מבחר אסכולת פרנקפורט</w:t>
      </w:r>
      <w:r w:rsidRPr="00724374">
        <w:rPr>
          <w:rFonts w:cs="David" w:hint="cs"/>
          <w:rtl/>
        </w:rPr>
        <w:t xml:space="preserve">, </w:t>
      </w:r>
      <w:r w:rsidR="00467666" w:rsidRPr="00724374">
        <w:rPr>
          <w:rFonts w:cs="David" w:hint="cs"/>
          <w:rtl/>
        </w:rPr>
        <w:t xml:space="preserve">עמ' 141-158, 205-231, </w:t>
      </w:r>
      <w:r w:rsidRPr="00724374">
        <w:rPr>
          <w:rFonts w:cs="David" w:hint="cs"/>
          <w:rtl/>
        </w:rPr>
        <w:t>תל</w:t>
      </w:r>
      <w:r w:rsidR="00724374">
        <w:rPr>
          <w:rFonts w:cs="David" w:hint="cs"/>
          <w:rtl/>
        </w:rPr>
        <w:t xml:space="preserve"> </w:t>
      </w:r>
      <w:r w:rsidRPr="00724374">
        <w:rPr>
          <w:rFonts w:cs="David" w:hint="cs"/>
          <w:rtl/>
        </w:rPr>
        <w:t>אביב: ספרית פועלים, 1993</w:t>
      </w:r>
      <w:r w:rsidR="00467666" w:rsidRPr="00724374">
        <w:rPr>
          <w:rFonts w:cs="David" w:hint="cs"/>
          <w:rtl/>
          <w:lang w:val="de-DE"/>
        </w:rPr>
        <w:t>.</w:t>
      </w:r>
    </w:p>
    <w:p w:rsidR="005C30F8" w:rsidRPr="00D57DAA" w:rsidRDefault="0075629E" w:rsidP="00E15319">
      <w:pPr>
        <w:bidi/>
        <w:spacing w:line="360" w:lineRule="auto"/>
        <w:jc w:val="both"/>
        <w:rPr>
          <w:rFonts w:cs="David"/>
          <w:rtl/>
          <w:lang w:val="de-DE"/>
        </w:rPr>
      </w:pPr>
      <w:proofErr w:type="spellStart"/>
      <w:r w:rsidRPr="00724374">
        <w:rPr>
          <w:rFonts w:cs="David" w:hint="cs"/>
          <w:rtl/>
          <w:lang w:val="de-DE"/>
        </w:rPr>
        <w:t>אדורנו</w:t>
      </w:r>
      <w:proofErr w:type="spellEnd"/>
      <w:r w:rsidRPr="00724374">
        <w:rPr>
          <w:rFonts w:cs="David" w:hint="cs"/>
          <w:rtl/>
          <w:lang w:val="de-DE"/>
        </w:rPr>
        <w:t xml:space="preserve">, ת. </w:t>
      </w:r>
      <w:proofErr w:type="spellStart"/>
      <w:r w:rsidRPr="00724374">
        <w:rPr>
          <w:rFonts w:cs="David" w:hint="cs"/>
          <w:rtl/>
          <w:lang w:val="de-DE"/>
        </w:rPr>
        <w:t>והורקהיימר</w:t>
      </w:r>
      <w:proofErr w:type="spellEnd"/>
      <w:r w:rsidRPr="00724374">
        <w:rPr>
          <w:rFonts w:cs="David" w:hint="cs"/>
          <w:rtl/>
          <w:lang w:val="de-DE"/>
        </w:rPr>
        <w:t>, מ., הדיאלקטיקה של הנאורות</w:t>
      </w:r>
      <w:r w:rsidR="00D57DAA">
        <w:rPr>
          <w:rFonts w:cs="David" w:hint="cs"/>
          <w:rtl/>
          <w:lang w:val="de-DE"/>
        </w:rPr>
        <w:t xml:space="preserve"> (פרק ראשון). </w:t>
      </w:r>
      <w:r w:rsidR="00D57DAA">
        <w:rPr>
          <w:rFonts w:cs="David" w:hint="cs"/>
          <w:i/>
          <w:iCs/>
          <w:rtl/>
          <w:lang w:val="de-DE"/>
        </w:rPr>
        <w:t>מטאפורה</w:t>
      </w:r>
      <w:r w:rsidR="00D57DAA">
        <w:rPr>
          <w:rFonts w:cs="David" w:hint="cs"/>
          <w:rtl/>
          <w:lang w:val="de-DE"/>
        </w:rPr>
        <w:t xml:space="preserve"> 5, חורף, 2002.</w:t>
      </w:r>
    </w:p>
    <w:p w:rsidR="0075629E" w:rsidRPr="00724374" w:rsidRDefault="00467666" w:rsidP="00724374">
      <w:pPr>
        <w:bidi/>
        <w:spacing w:line="360" w:lineRule="auto"/>
        <w:jc w:val="both"/>
        <w:rPr>
          <w:rFonts w:cs="David"/>
          <w:i/>
          <w:iCs/>
          <w:rtl/>
          <w:lang w:val="de-DE"/>
        </w:rPr>
      </w:pPr>
      <w:r w:rsidRPr="00724374">
        <w:rPr>
          <w:rFonts w:cs="David" w:hint="cs"/>
          <w:rtl/>
          <w:lang w:val="de-DE"/>
        </w:rPr>
        <w:t>בלוך, א.</w:t>
      </w:r>
      <w:r w:rsidR="0075629E" w:rsidRPr="00724374">
        <w:rPr>
          <w:rFonts w:cs="David" w:hint="cs"/>
          <w:rtl/>
          <w:lang w:val="de-DE"/>
        </w:rPr>
        <w:t xml:space="preserve">, קארל מארקס והאנושיות, </w:t>
      </w:r>
      <w:r w:rsidR="0075629E" w:rsidRPr="00724374">
        <w:rPr>
          <w:rFonts w:cs="David" w:hint="cs"/>
          <w:i/>
          <w:iCs/>
          <w:rtl/>
          <w:lang w:val="de-DE"/>
        </w:rPr>
        <w:t>כתבים נבחרים</w:t>
      </w:r>
      <w:r w:rsidR="0075629E" w:rsidRPr="00724374">
        <w:rPr>
          <w:rFonts w:cs="David" w:hint="cs"/>
          <w:rtl/>
          <w:lang w:val="de-DE"/>
        </w:rPr>
        <w:t>, ת</w:t>
      </w:r>
      <w:r w:rsidR="00724374">
        <w:rPr>
          <w:rFonts w:cs="David" w:hint="cs"/>
          <w:rtl/>
          <w:lang w:val="de-DE"/>
        </w:rPr>
        <w:t>ל אביב</w:t>
      </w:r>
      <w:r w:rsidR="0075629E" w:rsidRPr="00724374">
        <w:rPr>
          <w:rFonts w:cs="David" w:hint="cs"/>
          <w:rtl/>
          <w:lang w:val="de-DE"/>
        </w:rPr>
        <w:t>: ספרית פועלים</w:t>
      </w:r>
      <w:r w:rsidRPr="00724374">
        <w:rPr>
          <w:rFonts w:cs="David" w:hint="cs"/>
          <w:rtl/>
          <w:lang w:val="de-DE"/>
        </w:rPr>
        <w:t>, 1987</w:t>
      </w:r>
      <w:r w:rsidR="0075629E" w:rsidRPr="00724374">
        <w:rPr>
          <w:rFonts w:cs="David" w:hint="cs"/>
          <w:rtl/>
          <w:lang w:val="de-DE"/>
        </w:rPr>
        <w:t>.</w:t>
      </w:r>
    </w:p>
    <w:p w:rsidR="0075629E" w:rsidRPr="00724374" w:rsidRDefault="0075629E" w:rsidP="006A0B8D">
      <w:pPr>
        <w:bidi/>
        <w:spacing w:line="360" w:lineRule="auto"/>
        <w:jc w:val="both"/>
        <w:rPr>
          <w:rFonts w:cs="David"/>
          <w:rtl/>
          <w:lang w:val="de-DE"/>
        </w:rPr>
      </w:pPr>
      <w:proofErr w:type="spellStart"/>
      <w:r w:rsidRPr="00724374">
        <w:rPr>
          <w:rFonts w:cs="David" w:hint="cs"/>
          <w:rtl/>
          <w:lang w:val="de-DE"/>
        </w:rPr>
        <w:lastRenderedPageBreak/>
        <w:t>הורקהיימר</w:t>
      </w:r>
      <w:proofErr w:type="spellEnd"/>
      <w:r w:rsidRPr="00724374">
        <w:rPr>
          <w:rFonts w:cs="David" w:hint="cs"/>
          <w:rtl/>
          <w:lang w:val="de-DE"/>
        </w:rPr>
        <w:t xml:space="preserve">, מ., </w:t>
      </w:r>
      <w:r w:rsidR="00467666" w:rsidRPr="00724374">
        <w:rPr>
          <w:rFonts w:cs="David" w:hint="cs"/>
          <w:rtl/>
          <w:lang w:val="de-DE"/>
        </w:rPr>
        <w:t xml:space="preserve">עלייתו ונפילתו של האינדיבידואל, </w:t>
      </w:r>
      <w:r w:rsidR="00467666" w:rsidRPr="00724374">
        <w:rPr>
          <w:rFonts w:cs="David" w:hint="cs"/>
          <w:i/>
          <w:iCs/>
          <w:rtl/>
          <w:lang w:val="de-DE"/>
        </w:rPr>
        <w:t>ליקוי מאורות התבונה</w:t>
      </w:r>
      <w:r w:rsidR="00467666" w:rsidRPr="00724374">
        <w:rPr>
          <w:rFonts w:cs="David" w:hint="cs"/>
          <w:rtl/>
          <w:lang w:val="de-DE"/>
        </w:rPr>
        <w:t>, ירושלים: הוצאת שלם,  2010.</w:t>
      </w:r>
    </w:p>
    <w:p w:rsidR="0075629E" w:rsidRPr="00724374" w:rsidRDefault="0075629E" w:rsidP="00724374">
      <w:pPr>
        <w:bidi/>
        <w:spacing w:line="360" w:lineRule="auto"/>
        <w:jc w:val="both"/>
        <w:rPr>
          <w:rFonts w:cs="David"/>
          <w:rtl/>
          <w:lang w:val="de-DE"/>
        </w:rPr>
      </w:pPr>
      <w:proofErr w:type="spellStart"/>
      <w:r w:rsidRPr="00724374">
        <w:rPr>
          <w:rFonts w:cs="David" w:hint="cs"/>
          <w:rtl/>
          <w:lang w:val="de-DE"/>
        </w:rPr>
        <w:t>היגל</w:t>
      </w:r>
      <w:proofErr w:type="spellEnd"/>
      <w:r w:rsidRPr="00724374">
        <w:rPr>
          <w:rFonts w:cs="David" w:hint="cs"/>
          <w:rtl/>
          <w:lang w:val="de-DE"/>
        </w:rPr>
        <w:t>, פ., ג.,</w:t>
      </w:r>
      <w:r w:rsidR="0076673D" w:rsidRPr="00724374">
        <w:rPr>
          <w:rFonts w:cs="David" w:hint="cs"/>
          <w:rtl/>
          <w:lang w:val="de-DE"/>
        </w:rPr>
        <w:t xml:space="preserve"> </w:t>
      </w:r>
      <w:r w:rsidR="0076673D" w:rsidRPr="00724374">
        <w:rPr>
          <w:rFonts w:cs="David" w:hint="cs"/>
          <w:i/>
          <w:iCs/>
          <w:rtl/>
          <w:lang w:val="de-DE"/>
        </w:rPr>
        <w:t>הדיאלקטיקה של האדון והעבד</w:t>
      </w:r>
      <w:r w:rsidR="0076673D" w:rsidRPr="00724374">
        <w:rPr>
          <w:rFonts w:cs="David" w:hint="cs"/>
          <w:rtl/>
          <w:lang w:val="de-DE"/>
        </w:rPr>
        <w:t>, ת</w:t>
      </w:r>
      <w:r w:rsidR="00724374">
        <w:rPr>
          <w:rFonts w:cs="David" w:hint="cs"/>
          <w:rtl/>
          <w:lang w:val="de-DE"/>
        </w:rPr>
        <w:t xml:space="preserve">ל </w:t>
      </w:r>
      <w:r w:rsidR="0076673D" w:rsidRPr="00724374">
        <w:rPr>
          <w:rFonts w:cs="David" w:hint="cs"/>
          <w:rtl/>
          <w:lang w:val="de-DE"/>
        </w:rPr>
        <w:t>א</w:t>
      </w:r>
      <w:r w:rsidR="00724374">
        <w:rPr>
          <w:rFonts w:cs="David" w:hint="cs"/>
          <w:rtl/>
          <w:lang w:val="de-DE"/>
        </w:rPr>
        <w:t>ביב</w:t>
      </w:r>
      <w:r w:rsidR="0076673D" w:rsidRPr="00724374">
        <w:rPr>
          <w:rFonts w:cs="David" w:hint="cs"/>
          <w:rtl/>
          <w:lang w:val="de-DE"/>
        </w:rPr>
        <w:t>: עם עובד</w:t>
      </w:r>
      <w:r w:rsidR="00467666" w:rsidRPr="00724374">
        <w:rPr>
          <w:rFonts w:cs="David" w:hint="cs"/>
          <w:rtl/>
          <w:lang w:val="de-DE"/>
        </w:rPr>
        <w:t>, 1978</w:t>
      </w:r>
      <w:r w:rsidR="0076673D" w:rsidRPr="00724374">
        <w:rPr>
          <w:rFonts w:cs="David" w:hint="cs"/>
          <w:rtl/>
          <w:lang w:val="de-DE"/>
        </w:rPr>
        <w:t>.</w:t>
      </w:r>
    </w:p>
    <w:p w:rsidR="00E15319" w:rsidRPr="00724374" w:rsidRDefault="0075629E" w:rsidP="00467666">
      <w:pPr>
        <w:bidi/>
        <w:spacing w:line="360" w:lineRule="auto"/>
        <w:ind w:left="720" w:hanging="720"/>
        <w:jc w:val="both"/>
        <w:rPr>
          <w:rFonts w:cs="David"/>
          <w:rtl/>
        </w:rPr>
      </w:pPr>
      <w:r w:rsidRPr="00724374">
        <w:rPr>
          <w:rFonts w:cs="David" w:hint="cs"/>
          <w:rtl/>
          <w:lang w:val="de-DE"/>
        </w:rPr>
        <w:t>מארקס, ק.,</w:t>
      </w:r>
      <w:r w:rsidR="0076673D" w:rsidRPr="00724374">
        <w:rPr>
          <w:rFonts w:cs="David" w:hint="cs"/>
          <w:rtl/>
          <w:lang w:val="de-DE"/>
        </w:rPr>
        <w:t xml:space="preserve"> </w:t>
      </w:r>
      <w:r w:rsidR="00467666" w:rsidRPr="00724374">
        <w:rPr>
          <w:rFonts w:cs="David" w:hint="cs"/>
          <w:rtl/>
          <w:lang w:val="de-DE"/>
        </w:rPr>
        <w:t xml:space="preserve">כתבי יד כלכליים פילוסופיים: פרקים ד', ז'-ח', </w:t>
      </w:r>
      <w:r w:rsidR="00E15319" w:rsidRPr="00724374">
        <w:rPr>
          <w:rFonts w:cs="David" w:hint="cs"/>
          <w:b/>
          <w:i/>
          <w:iCs/>
          <w:rtl/>
        </w:rPr>
        <w:t>כתבי שחרות</w:t>
      </w:r>
      <w:r w:rsidR="00E15319" w:rsidRPr="00724374">
        <w:rPr>
          <w:rFonts w:cs="David" w:hint="cs"/>
          <w:rtl/>
        </w:rPr>
        <w:t>, מרחביה: ספרית פועלים, 1965</w:t>
      </w:r>
      <w:r w:rsidR="00467666" w:rsidRPr="00724374">
        <w:rPr>
          <w:rFonts w:cs="David" w:hint="cs"/>
          <w:rtl/>
        </w:rPr>
        <w:t>.</w:t>
      </w:r>
    </w:p>
    <w:p w:rsidR="00E15319" w:rsidRPr="00724374" w:rsidRDefault="00E15319" w:rsidP="00467666">
      <w:pPr>
        <w:bidi/>
        <w:spacing w:line="360" w:lineRule="auto"/>
        <w:ind w:left="720" w:hanging="720"/>
        <w:jc w:val="both"/>
        <w:rPr>
          <w:rFonts w:cs="David"/>
          <w:rtl/>
        </w:rPr>
      </w:pPr>
      <w:r w:rsidRPr="00724374">
        <w:rPr>
          <w:rFonts w:cs="David" w:hint="cs"/>
          <w:rtl/>
        </w:rPr>
        <w:t xml:space="preserve">מארקס, ק., </w:t>
      </w:r>
      <w:proofErr w:type="spellStart"/>
      <w:r w:rsidRPr="00724374">
        <w:rPr>
          <w:rFonts w:cs="David" w:hint="cs"/>
          <w:rtl/>
        </w:rPr>
        <w:t>ואנגלס</w:t>
      </w:r>
      <w:proofErr w:type="spellEnd"/>
      <w:r w:rsidRPr="00724374">
        <w:rPr>
          <w:rFonts w:cs="David" w:hint="cs"/>
          <w:rtl/>
        </w:rPr>
        <w:t xml:space="preserve">, פ., </w:t>
      </w:r>
      <w:proofErr w:type="spellStart"/>
      <w:r w:rsidRPr="00724374">
        <w:rPr>
          <w:rFonts w:cs="David" w:hint="cs"/>
          <w:b/>
          <w:i/>
          <w:iCs/>
          <w:rtl/>
        </w:rPr>
        <w:t>המאניפסט</w:t>
      </w:r>
      <w:proofErr w:type="spellEnd"/>
      <w:r w:rsidRPr="00724374">
        <w:rPr>
          <w:rFonts w:cs="David" w:hint="cs"/>
          <w:b/>
          <w:i/>
          <w:iCs/>
          <w:rtl/>
        </w:rPr>
        <w:t xml:space="preserve"> הקומוניסטי</w:t>
      </w:r>
      <w:r w:rsidRPr="00724374">
        <w:rPr>
          <w:rFonts w:cs="David" w:hint="cs"/>
          <w:rtl/>
        </w:rPr>
        <w:t>, תל אביב: הקיבוץ המאוחד, 1985</w:t>
      </w:r>
      <w:r w:rsidR="00467666" w:rsidRPr="00724374">
        <w:rPr>
          <w:rFonts w:cs="David" w:hint="cs"/>
          <w:rtl/>
        </w:rPr>
        <w:t>.</w:t>
      </w:r>
    </w:p>
    <w:p w:rsidR="00E15319" w:rsidRPr="00724374" w:rsidRDefault="0075629E" w:rsidP="00E15319">
      <w:pPr>
        <w:bidi/>
        <w:spacing w:line="360" w:lineRule="auto"/>
        <w:ind w:left="720" w:hanging="720"/>
        <w:jc w:val="both"/>
        <w:rPr>
          <w:rFonts w:cs="David"/>
          <w:rtl/>
        </w:rPr>
      </w:pPr>
      <w:r w:rsidRPr="00724374">
        <w:rPr>
          <w:rFonts w:cs="David" w:hint="cs"/>
          <w:rtl/>
          <w:lang w:val="de-DE"/>
        </w:rPr>
        <w:t>מרקוזה, ה.,</w:t>
      </w:r>
      <w:r w:rsidR="00E15319" w:rsidRPr="00724374">
        <w:rPr>
          <w:rFonts w:cs="David" w:hint="cs"/>
          <w:rtl/>
          <w:lang w:val="de-DE"/>
        </w:rPr>
        <w:t xml:space="preserve"> </w:t>
      </w:r>
      <w:r w:rsidR="00E15319" w:rsidRPr="00724374">
        <w:rPr>
          <w:rFonts w:cs="David" w:hint="cs"/>
          <w:b/>
          <w:i/>
          <w:iCs/>
          <w:rtl/>
          <w:lang w:val="de-DE"/>
        </w:rPr>
        <w:t>ארוס וציוויליזציה</w:t>
      </w:r>
      <w:r w:rsidR="00E15319" w:rsidRPr="00724374">
        <w:rPr>
          <w:rFonts w:cs="David" w:hint="cs"/>
          <w:rtl/>
          <w:lang w:val="de-DE"/>
        </w:rPr>
        <w:t>, פרק 4, תל-אביב: ספרית פועלים, 1978.</w:t>
      </w:r>
    </w:p>
    <w:p w:rsidR="00E15319" w:rsidRPr="00724374" w:rsidRDefault="00E15319" w:rsidP="00E15319">
      <w:pPr>
        <w:bidi/>
        <w:spacing w:line="360" w:lineRule="auto"/>
        <w:ind w:left="720" w:hanging="720"/>
        <w:jc w:val="both"/>
        <w:rPr>
          <w:rFonts w:cs="David"/>
          <w:rtl/>
        </w:rPr>
      </w:pPr>
      <w:r w:rsidRPr="00724374">
        <w:rPr>
          <w:rFonts w:cs="David" w:hint="cs"/>
          <w:rtl/>
        </w:rPr>
        <w:t xml:space="preserve">מרקוזה, ה., </w:t>
      </w:r>
      <w:r w:rsidRPr="00724374">
        <w:rPr>
          <w:rFonts w:cs="David" w:hint="cs"/>
          <w:i/>
          <w:iCs/>
          <w:rtl/>
        </w:rPr>
        <w:t>האדם החד-ממדי</w:t>
      </w:r>
      <w:r w:rsidRPr="00724374">
        <w:rPr>
          <w:rFonts w:cs="David" w:hint="cs"/>
          <w:rtl/>
        </w:rPr>
        <w:t>, עמ' 11-33, 197-225, תל-אביב: ספרית הפועלים, 1970.</w:t>
      </w:r>
    </w:p>
    <w:p w:rsidR="00E15319" w:rsidRPr="00724374" w:rsidRDefault="0075629E" w:rsidP="00E15319">
      <w:pPr>
        <w:bidi/>
        <w:spacing w:line="360" w:lineRule="auto"/>
        <w:ind w:left="720" w:hanging="720"/>
        <w:jc w:val="both"/>
        <w:rPr>
          <w:rFonts w:cs="David"/>
          <w:rtl/>
          <w:lang w:val="de-DE"/>
        </w:rPr>
      </w:pPr>
      <w:r w:rsidRPr="00724374">
        <w:rPr>
          <w:rFonts w:cs="David" w:hint="cs"/>
          <w:rtl/>
          <w:lang w:val="de-DE"/>
        </w:rPr>
        <w:t>ניטשה, פ.,</w:t>
      </w:r>
      <w:r w:rsidR="00E15319" w:rsidRPr="00724374">
        <w:rPr>
          <w:rFonts w:cs="David" w:hint="cs"/>
          <w:rtl/>
          <w:lang w:val="de-DE"/>
        </w:rPr>
        <w:t xml:space="preserve"> </w:t>
      </w:r>
      <w:r w:rsidR="00E15319" w:rsidRPr="00724374">
        <w:rPr>
          <w:rFonts w:cs="David" w:hint="cs"/>
          <w:b/>
          <w:i/>
          <w:iCs/>
          <w:rtl/>
          <w:lang w:val="de-DE"/>
        </w:rPr>
        <w:t>מסות על חינוך לתרבות</w:t>
      </w:r>
      <w:r w:rsidR="00E15319" w:rsidRPr="00724374">
        <w:rPr>
          <w:rFonts w:cs="David" w:hint="cs"/>
          <w:rtl/>
          <w:lang w:val="de-DE"/>
        </w:rPr>
        <w:t>, ירושלים: מאגנס, תשנ"ט.</w:t>
      </w:r>
    </w:p>
    <w:p w:rsidR="0075629E" w:rsidRPr="00724374" w:rsidRDefault="0075629E" w:rsidP="00467666">
      <w:pPr>
        <w:bidi/>
        <w:spacing w:line="360" w:lineRule="auto"/>
        <w:jc w:val="both"/>
        <w:rPr>
          <w:rFonts w:cs="David"/>
          <w:rtl/>
          <w:lang w:val="de-DE"/>
        </w:rPr>
      </w:pPr>
      <w:r w:rsidRPr="00724374">
        <w:rPr>
          <w:rFonts w:cs="David" w:hint="cs"/>
          <w:rtl/>
          <w:lang w:val="de-DE"/>
        </w:rPr>
        <w:t>פרום, א.</w:t>
      </w:r>
      <w:r w:rsidR="00467666" w:rsidRPr="00724374">
        <w:rPr>
          <w:rFonts w:cs="David" w:hint="cs"/>
          <w:rtl/>
          <w:lang w:val="de-DE"/>
        </w:rPr>
        <w:t>,</w:t>
      </w:r>
      <w:r w:rsidR="0076673D" w:rsidRPr="00724374">
        <w:rPr>
          <w:rFonts w:cs="David" w:hint="cs"/>
          <w:rtl/>
          <w:lang w:val="de-DE"/>
        </w:rPr>
        <w:t xml:space="preserve"> תורת זכות האם ושייכותה לפסיכולוגיה החברתית, </w:t>
      </w:r>
      <w:r w:rsidR="0076673D" w:rsidRPr="00724374">
        <w:rPr>
          <w:rFonts w:cs="David" w:hint="cs"/>
          <w:i/>
          <w:iCs/>
          <w:rtl/>
          <w:lang w:val="de-DE"/>
        </w:rPr>
        <w:t>משבר הפסיכואנליזה</w:t>
      </w:r>
      <w:r w:rsidR="0076673D" w:rsidRPr="00724374">
        <w:rPr>
          <w:rFonts w:cs="David" w:hint="cs"/>
          <w:rtl/>
          <w:lang w:val="de-DE"/>
        </w:rPr>
        <w:t xml:space="preserve">, ירושלים: </w:t>
      </w:r>
      <w:r w:rsidR="006A0B8D">
        <w:rPr>
          <w:rFonts w:cs="David" w:hint="cs"/>
          <w:rtl/>
          <w:lang w:val="de-DE"/>
        </w:rPr>
        <w:t xml:space="preserve"> </w:t>
      </w:r>
      <w:r w:rsidR="0076673D" w:rsidRPr="00724374">
        <w:rPr>
          <w:rFonts w:cs="David" w:hint="cs"/>
          <w:rtl/>
          <w:lang w:val="de-DE"/>
        </w:rPr>
        <w:t>רובינשטיין</w:t>
      </w:r>
      <w:r w:rsidR="00467666" w:rsidRPr="00724374">
        <w:rPr>
          <w:rFonts w:cs="David" w:hint="cs"/>
          <w:rtl/>
          <w:lang w:val="de-DE"/>
        </w:rPr>
        <w:t>, 1975</w:t>
      </w:r>
      <w:r w:rsidR="0076673D" w:rsidRPr="00724374">
        <w:rPr>
          <w:rFonts w:cs="David" w:hint="cs"/>
          <w:rtl/>
          <w:lang w:val="de-DE"/>
        </w:rPr>
        <w:t>.</w:t>
      </w:r>
    </w:p>
    <w:p w:rsidR="00F42D3B" w:rsidRPr="00724374" w:rsidRDefault="00F42D3B">
      <w:pPr>
        <w:rPr>
          <w:rFonts w:cs="David"/>
        </w:rPr>
      </w:pPr>
    </w:p>
    <w:sectPr w:rsidR="00F42D3B" w:rsidRPr="00724374" w:rsidSect="00C971C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1D55B3"/>
    <w:rsid w:val="001D55B3"/>
    <w:rsid w:val="00467666"/>
    <w:rsid w:val="00512327"/>
    <w:rsid w:val="0058573D"/>
    <w:rsid w:val="005C30F8"/>
    <w:rsid w:val="00646C06"/>
    <w:rsid w:val="006A0B8D"/>
    <w:rsid w:val="00724374"/>
    <w:rsid w:val="0075629E"/>
    <w:rsid w:val="0076673D"/>
    <w:rsid w:val="007D0FEB"/>
    <w:rsid w:val="00C971C6"/>
    <w:rsid w:val="00D57DAA"/>
    <w:rsid w:val="00E15319"/>
    <w:rsid w:val="00F42D3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D55B3"/>
    <w:pPr>
      <w:jc w:val="both"/>
    </w:pPr>
    <w:rPr>
      <w:sz w:val="20"/>
      <w:szCs w:val="20"/>
      <w:lang w:val="en-GB" w:eastAsia="en-GB"/>
    </w:rPr>
  </w:style>
  <w:style w:type="character" w:customStyle="1" w:styleId="FootnoteTextChar">
    <w:name w:val="Footnote Text Char"/>
    <w:basedOn w:val="DefaultParagraphFont"/>
    <w:link w:val="FootnoteText"/>
    <w:semiHidden/>
    <w:rsid w:val="001D55B3"/>
    <w:rPr>
      <w:rFonts w:ascii="Times New Roman" w:eastAsia="Times New Roman" w:hAnsi="Times New Roman" w:cs="Times New Roman"/>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18416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4F5E3-B747-4F6F-A22F-F439C836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2047</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dc:creator>
  <cp:lastModifiedBy>benshmer</cp:lastModifiedBy>
  <cp:revision>2</cp:revision>
  <dcterms:created xsi:type="dcterms:W3CDTF">2013-10-21T09:58:00Z</dcterms:created>
  <dcterms:modified xsi:type="dcterms:W3CDTF">2013-10-21T09:58:00Z</dcterms:modified>
</cp:coreProperties>
</file>