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07" w:rsidRPr="00464D58" w:rsidRDefault="006D5307" w:rsidP="006D5307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64D58">
        <w:rPr>
          <w:rFonts w:asciiTheme="majorBidi" w:hAnsiTheme="majorBidi" w:cstheme="majorBidi"/>
          <w:b/>
          <w:bCs/>
          <w:sz w:val="24"/>
          <w:szCs w:val="24"/>
          <w:rtl/>
        </w:rPr>
        <w:t>פילוסופיה קונטיננטלית עכשווית 2013-14</w:t>
      </w:r>
    </w:p>
    <w:p w:rsidR="006D5307" w:rsidRPr="00464D58" w:rsidRDefault="006D5307" w:rsidP="006D5307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64D58">
        <w:rPr>
          <w:rFonts w:asciiTheme="majorBidi" w:hAnsiTheme="majorBidi" w:cstheme="majorBidi"/>
          <w:b/>
          <w:bCs/>
          <w:sz w:val="24"/>
          <w:szCs w:val="24"/>
          <w:rtl/>
        </w:rPr>
        <w:t>פרופ</w:t>
      </w:r>
      <w:proofErr w:type="spellEnd"/>
      <w:r w:rsidRPr="00464D5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' אברהם </w:t>
      </w:r>
      <w:proofErr w:type="spellStart"/>
      <w:r w:rsidRPr="00464D58">
        <w:rPr>
          <w:rFonts w:asciiTheme="majorBidi" w:hAnsiTheme="majorBidi" w:cstheme="majorBidi"/>
          <w:b/>
          <w:bCs/>
          <w:sz w:val="24"/>
          <w:szCs w:val="24"/>
          <w:rtl/>
        </w:rPr>
        <w:t>מנסבך</w:t>
      </w:r>
      <w:proofErr w:type="spellEnd"/>
    </w:p>
    <w:p w:rsidR="00C10804" w:rsidRPr="00C10804" w:rsidRDefault="00C10804" w:rsidP="0069647B">
      <w:pPr>
        <w:bidi/>
        <w:spacing w:after="0" w:line="360" w:lineRule="auto"/>
        <w:rPr>
          <w:rFonts w:asciiTheme="majorBidi" w:eastAsia="Calibri" w:hAnsiTheme="majorBidi" w:cstheme="majorBidi"/>
          <w:sz w:val="24"/>
          <w:szCs w:val="24"/>
          <w:u w:val="single"/>
          <w:rtl/>
        </w:rPr>
      </w:pPr>
    </w:p>
    <w:p w:rsidR="00C10804" w:rsidRPr="00C10804" w:rsidRDefault="00C10804" w:rsidP="00C10804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C10804" w:rsidRPr="00C10804" w:rsidRDefault="00C10804" w:rsidP="00C10804">
      <w:pPr>
        <w:rPr>
          <w:rFonts w:asciiTheme="majorBidi" w:hAnsiTheme="majorBidi" w:cstheme="majorBidi"/>
          <w:sz w:val="24"/>
          <w:szCs w:val="24"/>
          <w:u w:val="single"/>
          <w:rtl/>
        </w:rPr>
      </w:pPr>
      <w:r w:rsidRPr="00C10804">
        <w:rPr>
          <w:rFonts w:asciiTheme="majorBidi" w:hAnsiTheme="majorBidi" w:cstheme="majorBidi"/>
          <w:sz w:val="24"/>
          <w:szCs w:val="24"/>
          <w:u w:val="single"/>
        </w:rPr>
        <w:t>Contemporary Continental Philosophy</w:t>
      </w:r>
    </w:p>
    <w:p w:rsidR="00C10804" w:rsidRPr="00C10804" w:rsidRDefault="00C10804" w:rsidP="00C10804">
      <w:pPr>
        <w:rPr>
          <w:rFonts w:asciiTheme="majorBidi" w:hAnsiTheme="majorBidi" w:cstheme="majorBidi"/>
          <w:sz w:val="24"/>
          <w:szCs w:val="24"/>
        </w:rPr>
      </w:pPr>
      <w:r w:rsidRPr="00C10804">
        <w:rPr>
          <w:rFonts w:asciiTheme="majorBidi" w:hAnsiTheme="majorBidi" w:cstheme="majorBidi"/>
          <w:sz w:val="24"/>
          <w:szCs w:val="24"/>
        </w:rPr>
        <w:t xml:space="preserve">This course introduces students to contemporary Continental-European philosophy by focusing on the historical developments of Marxism thorough "critical social theory," and of </w:t>
      </w:r>
      <w:proofErr w:type="spellStart"/>
      <w:r w:rsidRPr="00C10804">
        <w:rPr>
          <w:rFonts w:asciiTheme="majorBidi" w:hAnsiTheme="majorBidi" w:cstheme="majorBidi"/>
          <w:sz w:val="24"/>
          <w:szCs w:val="24"/>
        </w:rPr>
        <w:t>Heideggerianism</w:t>
      </w:r>
      <w:proofErr w:type="spellEnd"/>
      <w:r w:rsidRPr="00C10804">
        <w:rPr>
          <w:rFonts w:asciiTheme="majorBidi" w:hAnsiTheme="majorBidi" w:cstheme="majorBidi"/>
          <w:sz w:val="24"/>
          <w:szCs w:val="24"/>
        </w:rPr>
        <w:t>, through Hermeneutics and post-structuralism. At the thematic level, the course will analyze the way the question of language and self have been perceived by those currents of thought.</w:t>
      </w:r>
    </w:p>
    <w:p w:rsidR="00C10804" w:rsidRPr="00C10804" w:rsidRDefault="00C10804" w:rsidP="00C10804">
      <w:pPr>
        <w:rPr>
          <w:rFonts w:asciiTheme="majorBidi" w:hAnsiTheme="majorBidi" w:cstheme="majorBidi"/>
          <w:sz w:val="24"/>
          <w:szCs w:val="24"/>
        </w:rPr>
      </w:pPr>
    </w:p>
    <w:p w:rsidR="00C10804" w:rsidRPr="00C10804" w:rsidRDefault="00C10804" w:rsidP="00C10804">
      <w:pPr>
        <w:jc w:val="right"/>
        <w:rPr>
          <w:rFonts w:asciiTheme="majorBidi" w:hAnsiTheme="majorBidi" w:cstheme="majorBidi"/>
          <w:sz w:val="24"/>
          <w:szCs w:val="24"/>
          <w:u w:val="single"/>
        </w:rPr>
      </w:pPr>
      <w:r w:rsidRPr="00C10804">
        <w:rPr>
          <w:rFonts w:asciiTheme="majorBidi" w:hAnsiTheme="majorBidi" w:cstheme="majorBidi"/>
          <w:sz w:val="24"/>
          <w:szCs w:val="24"/>
          <w:u w:val="single"/>
          <w:rtl/>
        </w:rPr>
        <w:t>פילוסופיה קונטיננטאלית עכשווית</w:t>
      </w:r>
    </w:p>
    <w:p w:rsidR="00C10804" w:rsidRPr="001263F7" w:rsidRDefault="00C10804" w:rsidP="00C10804">
      <w:pPr>
        <w:bidi/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  <w:rtl/>
        </w:rPr>
      </w:pPr>
      <w:r w:rsidRPr="001263F7">
        <w:rPr>
          <w:rFonts w:asciiTheme="majorBidi" w:hAnsiTheme="majorBidi" w:cstheme="majorBidi"/>
          <w:sz w:val="24"/>
          <w:szCs w:val="24"/>
          <w:rtl/>
        </w:rPr>
        <w:t xml:space="preserve">קורס  זה מתרכז בשני נתיבים מרכזיים. אחד, ההתפתחות הפילוסופית של התיאוריה הביקורתית, והשני, הקבלה של רעיונותיו של </w:t>
      </w:r>
      <w:proofErr w:type="spellStart"/>
      <w:r w:rsidRPr="001263F7">
        <w:rPr>
          <w:rFonts w:asciiTheme="majorBidi" w:hAnsiTheme="majorBidi" w:cstheme="majorBidi"/>
          <w:sz w:val="24"/>
          <w:szCs w:val="24"/>
          <w:rtl/>
        </w:rPr>
        <w:t>היידגר</w:t>
      </w:r>
      <w:proofErr w:type="spellEnd"/>
      <w:r w:rsidRPr="001263F7">
        <w:rPr>
          <w:rFonts w:asciiTheme="majorBidi" w:hAnsiTheme="majorBidi" w:cstheme="majorBidi"/>
          <w:sz w:val="24"/>
          <w:szCs w:val="24"/>
          <w:rtl/>
        </w:rPr>
        <w:t xml:space="preserve"> על השפה והסובייקט. לגבי התיאוריה הביקורתית, נבחן את הקבלה של </w:t>
      </w:r>
      <w:proofErr w:type="spellStart"/>
      <w:r w:rsidRPr="001263F7">
        <w:rPr>
          <w:rFonts w:asciiTheme="majorBidi" w:hAnsiTheme="majorBidi" w:cstheme="majorBidi"/>
          <w:sz w:val="24"/>
          <w:szCs w:val="24"/>
          <w:rtl/>
        </w:rPr>
        <w:t>היגל</w:t>
      </w:r>
      <w:proofErr w:type="spellEnd"/>
      <w:r w:rsidRPr="001263F7">
        <w:rPr>
          <w:rFonts w:asciiTheme="majorBidi" w:hAnsiTheme="majorBidi" w:cstheme="majorBidi"/>
          <w:sz w:val="24"/>
          <w:szCs w:val="24"/>
          <w:rtl/>
        </w:rPr>
        <w:t xml:space="preserve"> ומארקס על ידי פילוסופים של המאה ה-20 כמו </w:t>
      </w:r>
      <w:proofErr w:type="spellStart"/>
      <w:r w:rsidRPr="001263F7">
        <w:rPr>
          <w:rFonts w:asciiTheme="majorBidi" w:hAnsiTheme="majorBidi" w:cstheme="majorBidi"/>
          <w:sz w:val="24"/>
          <w:szCs w:val="24"/>
          <w:rtl/>
        </w:rPr>
        <w:t>אדורנו</w:t>
      </w:r>
      <w:proofErr w:type="spellEnd"/>
      <w:r w:rsidRPr="001263F7">
        <w:rPr>
          <w:rFonts w:asciiTheme="majorBidi" w:hAnsiTheme="majorBidi" w:cstheme="majorBidi"/>
          <w:sz w:val="24"/>
          <w:szCs w:val="24"/>
          <w:rtl/>
        </w:rPr>
        <w:t xml:space="preserve">, </w:t>
      </w:r>
      <w:proofErr w:type="spellStart"/>
      <w:r w:rsidRPr="001263F7">
        <w:rPr>
          <w:rFonts w:asciiTheme="majorBidi" w:hAnsiTheme="majorBidi" w:cstheme="majorBidi"/>
          <w:sz w:val="24"/>
          <w:szCs w:val="24"/>
          <w:rtl/>
        </w:rPr>
        <w:t>האברמס</w:t>
      </w:r>
      <w:proofErr w:type="spellEnd"/>
      <w:r w:rsidRPr="001263F7">
        <w:rPr>
          <w:rFonts w:asciiTheme="majorBidi" w:hAnsiTheme="majorBidi" w:cstheme="majorBidi"/>
          <w:sz w:val="24"/>
          <w:szCs w:val="24"/>
          <w:rtl/>
        </w:rPr>
        <w:t xml:space="preserve">, </w:t>
      </w:r>
      <w:proofErr w:type="spellStart"/>
      <w:r w:rsidRPr="001263F7">
        <w:rPr>
          <w:rFonts w:asciiTheme="majorBidi" w:hAnsiTheme="majorBidi" w:cstheme="majorBidi"/>
          <w:sz w:val="24"/>
          <w:szCs w:val="24"/>
          <w:rtl/>
        </w:rPr>
        <w:t>ופוקו</w:t>
      </w:r>
      <w:proofErr w:type="spellEnd"/>
      <w:r w:rsidRPr="001263F7">
        <w:rPr>
          <w:rFonts w:asciiTheme="majorBidi" w:hAnsiTheme="majorBidi" w:cstheme="majorBidi"/>
          <w:sz w:val="24"/>
          <w:szCs w:val="24"/>
          <w:rtl/>
        </w:rPr>
        <w:t xml:space="preserve">. לגבי מורשתו של </w:t>
      </w:r>
      <w:proofErr w:type="spellStart"/>
      <w:r w:rsidRPr="001263F7">
        <w:rPr>
          <w:rFonts w:asciiTheme="majorBidi" w:hAnsiTheme="majorBidi" w:cstheme="majorBidi"/>
          <w:sz w:val="24"/>
          <w:szCs w:val="24"/>
          <w:rtl/>
        </w:rPr>
        <w:t>היידגר</w:t>
      </w:r>
      <w:proofErr w:type="spellEnd"/>
      <w:r w:rsidRPr="001263F7">
        <w:rPr>
          <w:rFonts w:asciiTheme="majorBidi" w:hAnsiTheme="majorBidi" w:cstheme="majorBidi"/>
          <w:sz w:val="24"/>
          <w:szCs w:val="24"/>
          <w:rtl/>
        </w:rPr>
        <w:t xml:space="preserve">, נתרכז בהרמנויטיקה דרך עבודתו של </w:t>
      </w:r>
      <w:proofErr w:type="spellStart"/>
      <w:r w:rsidRPr="001263F7">
        <w:rPr>
          <w:rFonts w:asciiTheme="majorBidi" w:hAnsiTheme="majorBidi" w:cstheme="majorBidi"/>
          <w:sz w:val="24"/>
          <w:szCs w:val="24"/>
          <w:rtl/>
        </w:rPr>
        <w:t>גדמר</w:t>
      </w:r>
      <w:proofErr w:type="spellEnd"/>
      <w:r w:rsidRPr="001263F7">
        <w:rPr>
          <w:rFonts w:asciiTheme="majorBidi" w:hAnsiTheme="majorBidi" w:cstheme="majorBidi"/>
          <w:sz w:val="24"/>
          <w:szCs w:val="24"/>
          <w:rtl/>
        </w:rPr>
        <w:t>.</w:t>
      </w:r>
      <w:r w:rsidRPr="001263F7">
        <w:rPr>
          <w:rFonts w:asciiTheme="majorBidi" w:eastAsia="Calibri" w:hAnsiTheme="majorBidi" w:cstheme="majorBidi"/>
          <w:sz w:val="24"/>
          <w:szCs w:val="24"/>
          <w:rtl/>
        </w:rPr>
        <w:t xml:space="preserve"> נתמקד גם בפוסט-סטרוקטורליזם של </w:t>
      </w:r>
      <w:proofErr w:type="spellStart"/>
      <w:r w:rsidRPr="001263F7">
        <w:rPr>
          <w:rFonts w:asciiTheme="majorBidi" w:eastAsia="Calibri" w:hAnsiTheme="majorBidi" w:cstheme="majorBidi"/>
          <w:sz w:val="24"/>
          <w:szCs w:val="24"/>
          <w:rtl/>
        </w:rPr>
        <w:t>פוקו</w:t>
      </w:r>
      <w:proofErr w:type="spellEnd"/>
      <w:r w:rsidRPr="001263F7">
        <w:rPr>
          <w:rFonts w:asciiTheme="majorBidi" w:eastAsia="Calibri" w:hAnsiTheme="majorBidi" w:cstheme="majorBidi"/>
          <w:sz w:val="24"/>
          <w:szCs w:val="24"/>
          <w:rtl/>
        </w:rPr>
        <w:t xml:space="preserve"> והשפעתו על הפמיניזם של </w:t>
      </w:r>
      <w:proofErr w:type="spellStart"/>
      <w:r w:rsidRPr="001263F7">
        <w:rPr>
          <w:rFonts w:asciiTheme="majorBidi" w:eastAsia="Calibri" w:hAnsiTheme="majorBidi" w:cstheme="majorBidi"/>
          <w:sz w:val="24"/>
          <w:szCs w:val="24"/>
          <w:rtl/>
        </w:rPr>
        <w:t>ז'ודית</w:t>
      </w:r>
      <w:proofErr w:type="spellEnd"/>
      <w:r w:rsidRPr="001263F7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  <w:proofErr w:type="spellStart"/>
      <w:r w:rsidRPr="001263F7">
        <w:rPr>
          <w:rFonts w:asciiTheme="majorBidi" w:eastAsia="Calibri" w:hAnsiTheme="majorBidi" w:cstheme="majorBidi"/>
          <w:sz w:val="24"/>
          <w:szCs w:val="24"/>
          <w:rtl/>
        </w:rPr>
        <w:t>בוטלר</w:t>
      </w:r>
      <w:proofErr w:type="spellEnd"/>
      <w:r w:rsidRPr="001263F7">
        <w:rPr>
          <w:rFonts w:asciiTheme="majorBidi" w:eastAsia="Calibri" w:hAnsiTheme="majorBidi" w:cstheme="majorBidi"/>
          <w:sz w:val="24"/>
          <w:szCs w:val="24"/>
          <w:rtl/>
        </w:rPr>
        <w:t>.</w:t>
      </w:r>
    </w:p>
    <w:p w:rsidR="00C10804" w:rsidRDefault="00C10804" w:rsidP="00C10804">
      <w:pPr>
        <w:bidi/>
        <w:spacing w:after="0" w:line="360" w:lineRule="auto"/>
        <w:rPr>
          <w:rFonts w:asciiTheme="majorBidi" w:eastAsia="Calibri" w:hAnsiTheme="majorBidi" w:cstheme="majorBidi"/>
          <w:sz w:val="24"/>
          <w:szCs w:val="24"/>
          <w:u w:val="single"/>
          <w:rtl/>
        </w:rPr>
      </w:pPr>
    </w:p>
    <w:p w:rsidR="00C10804" w:rsidRDefault="00C10804" w:rsidP="00C10804">
      <w:pPr>
        <w:bidi/>
        <w:spacing w:after="0" w:line="360" w:lineRule="auto"/>
        <w:rPr>
          <w:rFonts w:asciiTheme="majorBidi" w:eastAsia="Calibri" w:hAnsiTheme="majorBidi" w:cstheme="majorBidi"/>
          <w:sz w:val="24"/>
          <w:szCs w:val="24"/>
          <w:u w:val="single"/>
          <w:rtl/>
        </w:rPr>
      </w:pPr>
    </w:p>
    <w:p w:rsidR="00CB3D76" w:rsidRPr="00464D58" w:rsidRDefault="006D5307" w:rsidP="00C10804">
      <w:pPr>
        <w:bidi/>
        <w:spacing w:after="0" w:line="360" w:lineRule="auto"/>
        <w:rPr>
          <w:rFonts w:asciiTheme="majorBidi" w:eastAsia="Calibri" w:hAnsiTheme="majorBidi" w:cstheme="majorBidi"/>
          <w:sz w:val="24"/>
          <w:szCs w:val="24"/>
        </w:rPr>
      </w:pPr>
      <w:r w:rsidRPr="00464D58">
        <w:rPr>
          <w:rFonts w:asciiTheme="majorBidi" w:eastAsia="Calibri" w:hAnsiTheme="majorBidi" w:cstheme="majorBidi"/>
          <w:sz w:val="24"/>
          <w:szCs w:val="24"/>
          <w:u w:val="single"/>
          <w:rtl/>
        </w:rPr>
        <w:t>חובות הקורס</w:t>
      </w:r>
      <w:r w:rsidRPr="00464D58">
        <w:rPr>
          <w:rFonts w:asciiTheme="majorBidi" w:eastAsia="Calibri" w:hAnsiTheme="majorBidi" w:cstheme="majorBidi"/>
          <w:sz w:val="24"/>
          <w:szCs w:val="24"/>
          <w:rtl/>
        </w:rPr>
        <w:t>:</w:t>
      </w:r>
    </w:p>
    <w:p w:rsidR="0069647B" w:rsidRPr="00BD6FDC" w:rsidRDefault="00BD6FDC" w:rsidP="0069647B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ajorBidi" w:eastAsia="Calibri" w:hAnsiTheme="majorBidi" w:cstheme="majorBidi"/>
          <w:sz w:val="24"/>
          <w:szCs w:val="24"/>
        </w:rPr>
      </w:pPr>
      <w:r w:rsidRPr="00BD6FDC">
        <w:rPr>
          <w:rFonts w:asciiTheme="majorBidi" w:hAnsiTheme="majorBidi" w:cstheme="majorBidi" w:hint="cs"/>
          <w:sz w:val="24"/>
          <w:szCs w:val="24"/>
          <w:rtl/>
        </w:rPr>
        <w:t xml:space="preserve">מבחן בית 48 שעות </w:t>
      </w:r>
      <w:r w:rsidR="0071407C">
        <w:rPr>
          <w:rFonts w:asciiTheme="majorBidi" w:hAnsiTheme="majorBidi" w:cstheme="majorBidi" w:hint="cs"/>
          <w:sz w:val="24"/>
          <w:szCs w:val="24"/>
          <w:rtl/>
        </w:rPr>
        <w:t xml:space="preserve">או מבחן </w:t>
      </w:r>
      <w:r w:rsidRPr="00BD6FDC">
        <w:rPr>
          <w:rFonts w:asciiTheme="majorBidi" w:hAnsiTheme="majorBidi" w:cstheme="majorBidi" w:hint="cs"/>
          <w:sz w:val="24"/>
          <w:szCs w:val="24"/>
          <w:rtl/>
        </w:rPr>
        <w:t>בסוף הקורס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404F44" w:rsidRPr="00BD6FDC" w:rsidRDefault="00BD6FDC" w:rsidP="00BD6FDC">
      <w:pPr>
        <w:pStyle w:val="ListParagraph"/>
        <w:numPr>
          <w:ilvl w:val="0"/>
          <w:numId w:val="2"/>
        </w:num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eastAsia="Calibri" w:hAnsiTheme="majorBidi" w:cstheme="majorBidi" w:hint="cs"/>
          <w:sz w:val="24"/>
          <w:szCs w:val="24"/>
          <w:rtl/>
        </w:rPr>
        <w:t>למבחן יהיו שתי גרסאות. אחת</w:t>
      </w:r>
      <w:r w:rsidRPr="00BD6FDC">
        <w:rPr>
          <w:rFonts w:asciiTheme="majorBidi" w:eastAsia="Calibri" w:hAnsiTheme="majorBidi" w:cstheme="majorBidi" w:hint="cs"/>
          <w:sz w:val="24"/>
          <w:szCs w:val="24"/>
          <w:rtl/>
        </w:rPr>
        <w:t xml:space="preserve"> לאלה שלא מ</w:t>
      </w:r>
      <w:r>
        <w:rPr>
          <w:rFonts w:asciiTheme="majorBidi" w:eastAsia="Calibri" w:hAnsiTheme="majorBidi" w:cstheme="majorBidi" w:hint="cs"/>
          <w:sz w:val="24"/>
          <w:szCs w:val="24"/>
          <w:rtl/>
        </w:rPr>
        <w:t xml:space="preserve">שתתפים בסמינר על מישל </w:t>
      </w:r>
      <w:proofErr w:type="spellStart"/>
      <w:r>
        <w:rPr>
          <w:rFonts w:asciiTheme="majorBidi" w:eastAsia="Calibri" w:hAnsiTheme="majorBidi" w:cstheme="majorBidi" w:hint="cs"/>
          <w:sz w:val="24"/>
          <w:szCs w:val="24"/>
          <w:rtl/>
        </w:rPr>
        <w:t>פוקו</w:t>
      </w:r>
      <w:proofErr w:type="spellEnd"/>
      <w:r>
        <w:rPr>
          <w:rFonts w:asciiTheme="majorBidi" w:eastAsia="Calibri" w:hAnsiTheme="majorBidi" w:cstheme="majorBidi" w:hint="cs"/>
          <w:sz w:val="24"/>
          <w:szCs w:val="24"/>
          <w:rtl/>
        </w:rPr>
        <w:t>, ואחת</w:t>
      </w:r>
      <w:r w:rsidRPr="00BD6FDC">
        <w:rPr>
          <w:rFonts w:asciiTheme="majorBidi" w:eastAsia="Calibri" w:hAnsiTheme="majorBidi" w:cstheme="majorBidi" w:hint="cs"/>
          <w:sz w:val="24"/>
          <w:szCs w:val="24"/>
          <w:rtl/>
        </w:rPr>
        <w:t xml:space="preserve"> לאלה שכן. </w:t>
      </w:r>
    </w:p>
    <w:p w:rsidR="00BD6FDC" w:rsidRDefault="00BD6FDC" w:rsidP="003F1C97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3F1C97" w:rsidRPr="00464D58" w:rsidRDefault="003F1C97" w:rsidP="00BD6FDC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t>תוכנית השיעורים:</w:t>
      </w:r>
    </w:p>
    <w:p w:rsidR="006D5307" w:rsidRPr="00464D58" w:rsidRDefault="00CB3D76" w:rsidP="00CB3D76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t xml:space="preserve">2.3.14 </w:t>
      </w:r>
      <w:r w:rsidR="006D5307" w:rsidRPr="00464D58">
        <w:rPr>
          <w:rFonts w:asciiTheme="majorBidi" w:hAnsiTheme="majorBidi" w:cstheme="majorBidi"/>
          <w:sz w:val="24"/>
          <w:szCs w:val="24"/>
          <w:rtl/>
        </w:rPr>
        <w:t>הקדמה: פילוסופיה קונטיננטלית</w:t>
      </w:r>
      <w:r w:rsidRPr="00464D58">
        <w:rPr>
          <w:rFonts w:asciiTheme="majorBidi" w:hAnsiTheme="majorBidi" w:cstheme="majorBidi"/>
          <w:sz w:val="24"/>
          <w:szCs w:val="24"/>
          <w:rtl/>
        </w:rPr>
        <w:t xml:space="preserve"> עכשווית – מרטין </w:t>
      </w:r>
      <w:proofErr w:type="spellStart"/>
      <w:r w:rsidRPr="00464D58">
        <w:rPr>
          <w:rFonts w:asciiTheme="majorBidi" w:hAnsiTheme="majorBidi" w:cstheme="majorBidi"/>
          <w:sz w:val="24"/>
          <w:szCs w:val="24"/>
          <w:rtl/>
        </w:rPr>
        <w:t>היידגר</w:t>
      </w:r>
      <w:proofErr w:type="spellEnd"/>
      <w:r w:rsidR="00BD6FDC">
        <w:rPr>
          <w:rFonts w:asciiTheme="majorBidi" w:hAnsiTheme="majorBidi" w:cstheme="majorBidi" w:hint="cs"/>
          <w:sz w:val="24"/>
          <w:szCs w:val="24"/>
          <w:rtl/>
        </w:rPr>
        <w:t>: הפילוסוף והאדם.</w:t>
      </w:r>
    </w:p>
    <w:p w:rsidR="006D5307" w:rsidRPr="00464D58" w:rsidRDefault="00CB3D76" w:rsidP="00CB3D76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t xml:space="preserve">9.3.14 מרטין </w:t>
      </w:r>
      <w:proofErr w:type="spellStart"/>
      <w:r w:rsidRPr="00464D58">
        <w:rPr>
          <w:rFonts w:asciiTheme="majorBidi" w:hAnsiTheme="majorBidi" w:cstheme="majorBidi"/>
          <w:sz w:val="24"/>
          <w:szCs w:val="24"/>
          <w:rtl/>
        </w:rPr>
        <w:t>היידגר</w:t>
      </w:r>
      <w:proofErr w:type="spellEnd"/>
      <w:r w:rsidR="00BD6FDC">
        <w:rPr>
          <w:rFonts w:asciiTheme="majorBidi" w:hAnsiTheme="majorBidi" w:cstheme="majorBidi" w:hint="cs"/>
          <w:sz w:val="24"/>
          <w:szCs w:val="24"/>
          <w:rtl/>
        </w:rPr>
        <w:t xml:space="preserve">: על שאלת ההוויה </w:t>
      </w:r>
      <w:proofErr w:type="spellStart"/>
      <w:r w:rsidR="00BD6FDC">
        <w:rPr>
          <w:rFonts w:asciiTheme="majorBidi" w:hAnsiTheme="majorBidi" w:cstheme="majorBidi" w:hint="cs"/>
          <w:sz w:val="24"/>
          <w:szCs w:val="24"/>
          <w:rtl/>
        </w:rPr>
        <w:t>וההיות</w:t>
      </w:r>
      <w:proofErr w:type="spellEnd"/>
      <w:r w:rsidR="00BD6FDC">
        <w:rPr>
          <w:rFonts w:asciiTheme="majorBidi" w:hAnsiTheme="majorBidi" w:cstheme="majorBidi" w:hint="cs"/>
          <w:sz w:val="24"/>
          <w:szCs w:val="24"/>
          <w:rtl/>
        </w:rPr>
        <w:t>-שם (</w:t>
      </w:r>
      <w:proofErr w:type="spellStart"/>
      <w:r w:rsidR="00BD6FDC">
        <w:rPr>
          <w:rFonts w:asciiTheme="majorBidi" w:hAnsiTheme="majorBidi" w:cstheme="majorBidi"/>
          <w:sz w:val="24"/>
          <w:szCs w:val="24"/>
        </w:rPr>
        <w:t>Dasein</w:t>
      </w:r>
      <w:proofErr w:type="spellEnd"/>
      <w:r w:rsidR="00BD6FDC">
        <w:rPr>
          <w:rFonts w:asciiTheme="majorBidi" w:hAnsiTheme="majorBidi" w:cstheme="majorBidi" w:hint="cs"/>
          <w:sz w:val="24"/>
          <w:szCs w:val="24"/>
          <w:rtl/>
        </w:rPr>
        <w:t>)</w:t>
      </w:r>
    </w:p>
    <w:p w:rsidR="006D5307" w:rsidRPr="00464D58" w:rsidRDefault="00CB3D76" w:rsidP="006D5307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t xml:space="preserve">23.3.14 מרטין </w:t>
      </w:r>
      <w:proofErr w:type="spellStart"/>
      <w:r w:rsidRPr="00464D58">
        <w:rPr>
          <w:rFonts w:asciiTheme="majorBidi" w:hAnsiTheme="majorBidi" w:cstheme="majorBidi"/>
          <w:sz w:val="24"/>
          <w:szCs w:val="24"/>
          <w:rtl/>
        </w:rPr>
        <w:t>היידגר</w:t>
      </w:r>
      <w:proofErr w:type="spellEnd"/>
      <w:r w:rsidR="00BD6FDC">
        <w:rPr>
          <w:rFonts w:asciiTheme="majorBidi" w:hAnsiTheme="majorBidi" w:cstheme="majorBidi" w:hint="cs"/>
          <w:sz w:val="24"/>
          <w:szCs w:val="24"/>
          <w:rtl/>
        </w:rPr>
        <w:t>: היות-בתוך העולם, לקראת המוות.</w:t>
      </w:r>
    </w:p>
    <w:p w:rsidR="006D5307" w:rsidRPr="00464D58" w:rsidRDefault="00CB3D76" w:rsidP="00BD6FDC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t xml:space="preserve">30.3.14 </w:t>
      </w:r>
      <w:proofErr w:type="spellStart"/>
      <w:r w:rsidR="007636AA" w:rsidRPr="00464D58">
        <w:rPr>
          <w:rFonts w:asciiTheme="majorBidi" w:hAnsiTheme="majorBidi" w:cstheme="majorBidi"/>
          <w:sz w:val="24"/>
          <w:szCs w:val="24"/>
          <w:rtl/>
        </w:rPr>
        <w:t>היידגר</w:t>
      </w:r>
      <w:proofErr w:type="spellEnd"/>
      <w:r w:rsidR="007636AA" w:rsidRPr="00464D5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D6FDC">
        <w:rPr>
          <w:rFonts w:asciiTheme="majorBidi" w:hAnsiTheme="majorBidi" w:cstheme="majorBidi"/>
          <w:sz w:val="24"/>
          <w:szCs w:val="24"/>
          <w:rtl/>
        </w:rPr>
        <w:t>–</w:t>
      </w:r>
      <w:r w:rsidR="007636AA" w:rsidRPr="00464D5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D6FDC">
        <w:rPr>
          <w:rFonts w:asciiTheme="majorBidi" w:hAnsiTheme="majorBidi" w:cstheme="majorBidi" w:hint="cs"/>
          <w:sz w:val="24"/>
          <w:szCs w:val="24"/>
          <w:rtl/>
        </w:rPr>
        <w:t>הרמנויטיקה ומשמעות.</w:t>
      </w:r>
    </w:p>
    <w:p w:rsidR="006D5307" w:rsidRPr="00464D58" w:rsidRDefault="0011320E" w:rsidP="006D5307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t>6.4.14 הרמנויטיקה</w:t>
      </w:r>
      <w:r w:rsidR="00BD6FD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A4FBD">
        <w:rPr>
          <w:rFonts w:asciiTheme="majorBidi" w:hAnsiTheme="majorBidi" w:cstheme="majorBidi" w:hint="cs"/>
          <w:sz w:val="24"/>
          <w:szCs w:val="24"/>
          <w:rtl/>
        </w:rPr>
        <w:t xml:space="preserve">ולשון: </w:t>
      </w:r>
      <w:proofErr w:type="spellStart"/>
      <w:r w:rsidR="00BD6FDC">
        <w:rPr>
          <w:rFonts w:asciiTheme="majorBidi" w:hAnsiTheme="majorBidi" w:cstheme="majorBidi" w:hint="cs"/>
          <w:sz w:val="24"/>
          <w:szCs w:val="24"/>
          <w:rtl/>
        </w:rPr>
        <w:t>גאדמר</w:t>
      </w:r>
      <w:proofErr w:type="spellEnd"/>
    </w:p>
    <w:p w:rsidR="006D5307" w:rsidRPr="00464D58" w:rsidRDefault="0011320E" w:rsidP="00E95CEF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t xml:space="preserve">27.4.14  </w:t>
      </w:r>
      <w:r w:rsidR="00BD6FDC">
        <w:rPr>
          <w:rFonts w:asciiTheme="majorBidi" w:hAnsiTheme="majorBidi" w:cstheme="majorBidi" w:hint="cs"/>
          <w:sz w:val="24"/>
          <w:szCs w:val="24"/>
          <w:rtl/>
        </w:rPr>
        <w:t xml:space="preserve">אסכולת </w:t>
      </w:r>
      <w:r w:rsidRPr="00464D58">
        <w:rPr>
          <w:rFonts w:asciiTheme="majorBidi" w:hAnsiTheme="majorBidi" w:cstheme="majorBidi"/>
          <w:sz w:val="24"/>
          <w:szCs w:val="24"/>
          <w:rtl/>
        </w:rPr>
        <w:t>פרנקפורט</w:t>
      </w:r>
      <w:r w:rsidR="00BD6FDC">
        <w:rPr>
          <w:rFonts w:asciiTheme="majorBidi" w:hAnsiTheme="majorBidi" w:cstheme="majorBidi" w:hint="cs"/>
          <w:sz w:val="24"/>
          <w:szCs w:val="24"/>
          <w:rtl/>
        </w:rPr>
        <w:t>: היסטוריה, מרקסיזם,</w:t>
      </w:r>
    </w:p>
    <w:p w:rsidR="006D5307" w:rsidRPr="00464D58" w:rsidRDefault="0011320E" w:rsidP="0011320E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t>4.5.14  פרנקפורט</w:t>
      </w:r>
      <w:r w:rsidR="00BD6FDC">
        <w:rPr>
          <w:rFonts w:asciiTheme="majorBidi" w:hAnsiTheme="majorBidi" w:cstheme="majorBidi" w:hint="cs"/>
          <w:sz w:val="24"/>
          <w:szCs w:val="24"/>
          <w:rtl/>
        </w:rPr>
        <w:t>: תיאוריה ביקורתית</w:t>
      </w:r>
    </w:p>
    <w:p w:rsidR="006D5307" w:rsidRPr="00464D58" w:rsidRDefault="0011320E" w:rsidP="0011320E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t>11.5.14 פרנקפורט</w:t>
      </w:r>
      <w:r w:rsidR="00BD6FDC">
        <w:rPr>
          <w:rFonts w:asciiTheme="majorBidi" w:hAnsiTheme="majorBidi" w:cstheme="majorBidi" w:hint="cs"/>
          <w:sz w:val="24"/>
          <w:szCs w:val="24"/>
          <w:rtl/>
        </w:rPr>
        <w:t>: תעשיית התרבות</w:t>
      </w:r>
    </w:p>
    <w:p w:rsidR="006D5307" w:rsidRPr="00464D58" w:rsidRDefault="0011320E" w:rsidP="0011320E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t xml:space="preserve">18.5.14 </w:t>
      </w:r>
      <w:proofErr w:type="spellStart"/>
      <w:r w:rsidR="006D5307" w:rsidRPr="00464D58">
        <w:rPr>
          <w:rFonts w:asciiTheme="majorBidi" w:hAnsiTheme="majorBidi" w:cstheme="majorBidi"/>
          <w:sz w:val="24"/>
          <w:szCs w:val="24"/>
          <w:rtl/>
        </w:rPr>
        <w:t>פוקו</w:t>
      </w:r>
      <w:proofErr w:type="spellEnd"/>
      <w:r w:rsidR="00BD6FDC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="00FA4FBD">
        <w:rPr>
          <w:rFonts w:asciiTheme="majorBidi" w:hAnsiTheme="majorBidi" w:cstheme="majorBidi" w:hint="cs"/>
          <w:sz w:val="24"/>
          <w:szCs w:val="24"/>
          <w:rtl/>
        </w:rPr>
        <w:t xml:space="preserve">תולדות השיגעון </w:t>
      </w:r>
    </w:p>
    <w:p w:rsidR="006D5307" w:rsidRPr="00464D58" w:rsidRDefault="0011320E" w:rsidP="00FA4FBD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t xml:space="preserve"> 25.5.14 </w:t>
      </w:r>
      <w:proofErr w:type="spellStart"/>
      <w:r w:rsidRPr="00464D58">
        <w:rPr>
          <w:rFonts w:asciiTheme="majorBidi" w:hAnsiTheme="majorBidi" w:cstheme="majorBidi"/>
          <w:sz w:val="24"/>
          <w:szCs w:val="24"/>
          <w:rtl/>
        </w:rPr>
        <w:t>פוקו</w:t>
      </w:r>
      <w:proofErr w:type="spellEnd"/>
      <w:r w:rsidR="00FA4FBD">
        <w:rPr>
          <w:rFonts w:asciiTheme="majorBidi" w:hAnsiTheme="majorBidi" w:cstheme="majorBidi" w:hint="cs"/>
          <w:sz w:val="24"/>
          <w:szCs w:val="24"/>
          <w:rtl/>
        </w:rPr>
        <w:t xml:space="preserve">: משמעת/פיקוח, וסובייקטיביות </w:t>
      </w:r>
    </w:p>
    <w:p w:rsidR="006D5307" w:rsidRPr="00464D58" w:rsidRDefault="006D5307" w:rsidP="00FA4FBD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lastRenderedPageBreak/>
        <w:t xml:space="preserve"> </w:t>
      </w:r>
      <w:r w:rsidR="0011320E" w:rsidRPr="00464D58">
        <w:rPr>
          <w:rFonts w:asciiTheme="majorBidi" w:hAnsiTheme="majorBidi" w:cstheme="majorBidi"/>
          <w:sz w:val="24"/>
          <w:szCs w:val="24"/>
          <w:rtl/>
        </w:rPr>
        <w:t>1.6.14</w:t>
      </w:r>
      <w:r w:rsidR="00BD6FD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11320E" w:rsidRPr="00464D58">
        <w:rPr>
          <w:rFonts w:asciiTheme="majorBidi" w:hAnsiTheme="majorBidi" w:cstheme="majorBidi"/>
          <w:sz w:val="24"/>
          <w:szCs w:val="24"/>
          <w:rtl/>
        </w:rPr>
        <w:t>פוקו</w:t>
      </w:r>
      <w:proofErr w:type="spellEnd"/>
      <w:r w:rsidR="00FA4FBD">
        <w:rPr>
          <w:rFonts w:asciiTheme="majorBidi" w:hAnsiTheme="majorBidi" w:cstheme="majorBidi" w:hint="cs"/>
          <w:sz w:val="24"/>
          <w:szCs w:val="24"/>
          <w:rtl/>
        </w:rPr>
        <w:t>: טכנולוגיות של האני.</w:t>
      </w:r>
    </w:p>
    <w:p w:rsidR="0011320E" w:rsidRPr="00464D58" w:rsidRDefault="0011320E" w:rsidP="0011320E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t xml:space="preserve">8.6.14 </w:t>
      </w:r>
      <w:proofErr w:type="spellStart"/>
      <w:r w:rsidRPr="00464D58">
        <w:rPr>
          <w:rFonts w:asciiTheme="majorBidi" w:hAnsiTheme="majorBidi" w:cstheme="majorBidi"/>
          <w:sz w:val="24"/>
          <w:szCs w:val="24"/>
          <w:rtl/>
        </w:rPr>
        <w:t>בוטלר</w:t>
      </w:r>
      <w:proofErr w:type="spellEnd"/>
      <w:r w:rsidR="00FA4FBD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proofErr w:type="spellStart"/>
      <w:r w:rsidR="00FA4FBD">
        <w:rPr>
          <w:rFonts w:asciiTheme="majorBidi" w:hAnsiTheme="majorBidi" w:cstheme="majorBidi" w:hint="cs"/>
          <w:sz w:val="24"/>
          <w:szCs w:val="24"/>
          <w:rtl/>
        </w:rPr>
        <w:t>פרפורמטיביות</w:t>
      </w:r>
      <w:proofErr w:type="spellEnd"/>
      <w:r w:rsidR="00FA4FBD">
        <w:rPr>
          <w:rFonts w:asciiTheme="majorBidi" w:hAnsiTheme="majorBidi" w:cstheme="majorBidi" w:hint="cs"/>
          <w:sz w:val="24"/>
          <w:szCs w:val="24"/>
          <w:rtl/>
        </w:rPr>
        <w:t xml:space="preserve"> וזהות</w:t>
      </w:r>
    </w:p>
    <w:p w:rsidR="006D5307" w:rsidRPr="00464D58" w:rsidRDefault="0011320E" w:rsidP="00FA4FBD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t xml:space="preserve">15.6.14 </w:t>
      </w:r>
      <w:r w:rsidR="00FA4FBD">
        <w:rPr>
          <w:rFonts w:asciiTheme="majorBidi" w:hAnsiTheme="majorBidi" w:cstheme="majorBidi" w:hint="cs"/>
          <w:sz w:val="24"/>
          <w:szCs w:val="24"/>
          <w:rtl/>
        </w:rPr>
        <w:t>סיכום</w:t>
      </w:r>
      <w:r w:rsidR="006D5307" w:rsidRPr="00464D58">
        <w:rPr>
          <w:rFonts w:asciiTheme="majorBidi" w:hAnsiTheme="majorBidi" w:cstheme="majorBidi"/>
          <w:sz w:val="24"/>
          <w:szCs w:val="24"/>
          <w:rtl/>
        </w:rPr>
        <w:br w:type="page"/>
      </w:r>
    </w:p>
    <w:p w:rsidR="006D5307" w:rsidRPr="00464D58" w:rsidRDefault="006D5307" w:rsidP="006D5307">
      <w:pPr>
        <w:bidi/>
        <w:spacing w:line="360" w:lineRule="auto"/>
        <w:rPr>
          <w:rFonts w:asciiTheme="majorBidi" w:hAnsiTheme="majorBidi" w:cstheme="majorBidi"/>
          <w:snapToGrid w:val="0"/>
          <w:sz w:val="24"/>
          <w:szCs w:val="24"/>
          <w:rtl/>
        </w:rPr>
      </w:pPr>
      <w:r w:rsidRPr="00464D58">
        <w:rPr>
          <w:rFonts w:asciiTheme="majorBidi" w:hAnsiTheme="majorBidi" w:cstheme="majorBidi"/>
          <w:sz w:val="24"/>
          <w:szCs w:val="24"/>
          <w:u w:val="single"/>
          <w:rtl/>
        </w:rPr>
        <w:lastRenderedPageBreak/>
        <w:t>ביבליוגרפיה</w:t>
      </w:r>
    </w:p>
    <w:p w:rsidR="006D5307" w:rsidRPr="00464D58" w:rsidRDefault="006D5307" w:rsidP="006D5307">
      <w:pPr>
        <w:bidi/>
        <w:spacing w:line="360" w:lineRule="auto"/>
        <w:rPr>
          <w:rFonts w:asciiTheme="majorBidi" w:hAnsiTheme="majorBidi" w:cstheme="majorBidi"/>
          <w:snapToGrid w:val="0"/>
          <w:sz w:val="24"/>
          <w:szCs w:val="24"/>
          <w:rtl/>
        </w:rPr>
      </w:pPr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1. מרטין 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היידגר</w:t>
      </w:r>
      <w:proofErr w:type="spellEnd"/>
    </w:p>
    <w:p w:rsidR="006D5307" w:rsidRPr="00464D58" w:rsidRDefault="006D5307" w:rsidP="006D5307">
      <w:pPr>
        <w:widowControl w:val="0"/>
        <w:ind w:right="426" w:hanging="720"/>
        <w:rPr>
          <w:rFonts w:asciiTheme="majorBidi" w:hAnsiTheme="majorBidi" w:cstheme="majorBidi"/>
          <w:snapToGrid w:val="0"/>
          <w:sz w:val="24"/>
          <w:szCs w:val="24"/>
        </w:rPr>
      </w:pPr>
      <w:r w:rsidRPr="00464D58">
        <w:rPr>
          <w:rFonts w:asciiTheme="majorBidi" w:hAnsiTheme="majorBidi" w:cstheme="majorBidi"/>
          <w:snapToGrid w:val="0"/>
          <w:sz w:val="24"/>
          <w:szCs w:val="24"/>
        </w:rPr>
        <w:t>Heidegger, M. Being and Time, Blackwell, 1980, pp. 21-28, 67-69, 78-86, 149-163.</w:t>
      </w:r>
    </w:p>
    <w:p w:rsidR="006D5307" w:rsidRPr="00464D58" w:rsidRDefault="006D5307" w:rsidP="006D5307">
      <w:pPr>
        <w:widowControl w:val="0"/>
        <w:bidi/>
        <w:ind w:right="426" w:firstLine="720"/>
        <w:rPr>
          <w:rFonts w:asciiTheme="majorBidi" w:hAnsiTheme="majorBidi" w:cstheme="majorBidi"/>
          <w:snapToGrid w:val="0"/>
          <w:sz w:val="24"/>
          <w:szCs w:val="24"/>
          <w:rtl/>
        </w:rPr>
      </w:pPr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מנסבך, אברהם. </w:t>
      </w:r>
      <w:r w:rsidRPr="00464D58">
        <w:rPr>
          <w:rFonts w:asciiTheme="majorBidi" w:hAnsiTheme="majorBidi" w:cstheme="majorBidi"/>
          <w:snapToGrid w:val="0"/>
          <w:sz w:val="24"/>
          <w:szCs w:val="24"/>
          <w:u w:val="single"/>
          <w:rtl/>
        </w:rPr>
        <w:t>קיום ומשמעות</w:t>
      </w:r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, הוצאת מאגנס, תשנ"ח, 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עמ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' 25</w:t>
      </w:r>
      <w:r w:rsidRPr="00464D58">
        <w:rPr>
          <w:rFonts w:asciiTheme="majorBidi" w:hAnsiTheme="majorBidi" w:cstheme="majorBidi"/>
          <w:snapToGrid w:val="0"/>
          <w:sz w:val="24"/>
          <w:szCs w:val="24"/>
        </w:rPr>
        <w:t xml:space="preserve">57- </w:t>
      </w:r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.</w:t>
      </w:r>
    </w:p>
    <w:p w:rsidR="006D5307" w:rsidRPr="00464D58" w:rsidRDefault="006D5307" w:rsidP="006D5307">
      <w:pPr>
        <w:bidi/>
        <w:spacing w:line="360" w:lineRule="auto"/>
        <w:rPr>
          <w:rFonts w:asciiTheme="majorBidi" w:hAnsiTheme="majorBidi" w:cstheme="majorBidi"/>
          <w:snapToGrid w:val="0"/>
          <w:sz w:val="24"/>
          <w:szCs w:val="24"/>
          <w:rtl/>
        </w:rPr>
      </w:pPr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2. 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ג'ורג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' 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גאדמר</w:t>
      </w:r>
      <w:proofErr w:type="spellEnd"/>
    </w:p>
    <w:p w:rsidR="006D5307" w:rsidRPr="00464D58" w:rsidRDefault="006D5307" w:rsidP="006D5307">
      <w:pPr>
        <w:widowControl w:val="0"/>
        <w:ind w:left="720" w:right="426" w:hanging="720"/>
        <w:rPr>
          <w:rFonts w:asciiTheme="majorBidi" w:hAnsiTheme="majorBidi" w:cstheme="majorBidi"/>
          <w:snapToGrid w:val="0"/>
          <w:sz w:val="24"/>
          <w:szCs w:val="24"/>
        </w:rPr>
      </w:pP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</w:rPr>
        <w:t>Gadamer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</w:rPr>
        <w:t>, H.G, "Language as the Medium of Hermeneutical Experience", Truth and Method, Crossroad, 1988, pp. 345-366</w:t>
      </w:r>
    </w:p>
    <w:p w:rsidR="00404F44" w:rsidRPr="00464D58" w:rsidRDefault="00404F44" w:rsidP="00404F44">
      <w:pPr>
        <w:widowControl w:val="0"/>
        <w:bidi/>
        <w:spacing w:after="0" w:line="360" w:lineRule="auto"/>
        <w:ind w:right="426"/>
        <w:rPr>
          <w:rFonts w:asciiTheme="majorBidi" w:hAnsiTheme="majorBidi" w:cstheme="majorBidi"/>
          <w:snapToGrid w:val="0"/>
          <w:sz w:val="24"/>
          <w:szCs w:val="24"/>
          <w:u w:val="single"/>
          <w:rtl/>
        </w:rPr>
      </w:pPr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3. </w:t>
      </w:r>
      <w:r w:rsidRPr="00464D58">
        <w:rPr>
          <w:rFonts w:asciiTheme="majorBidi" w:hAnsiTheme="majorBidi" w:cstheme="majorBidi"/>
          <w:snapToGrid w:val="0"/>
          <w:sz w:val="24"/>
          <w:szCs w:val="24"/>
          <w:u w:val="single"/>
          <w:rtl/>
        </w:rPr>
        <w:t xml:space="preserve">אסכולת 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u w:val="single"/>
          <w:rtl/>
        </w:rPr>
        <w:t>פרנקפורת</w:t>
      </w:r>
      <w:proofErr w:type="spellEnd"/>
    </w:p>
    <w:p w:rsidR="00404F44" w:rsidRPr="00464D58" w:rsidRDefault="00404F44" w:rsidP="00404F44">
      <w:pPr>
        <w:widowControl w:val="0"/>
        <w:bidi/>
        <w:spacing w:after="0" w:line="360" w:lineRule="auto"/>
        <w:ind w:left="386" w:right="425" w:firstLine="18"/>
        <w:rPr>
          <w:rFonts w:asciiTheme="majorBidi" w:hAnsiTheme="majorBidi" w:cstheme="majorBidi"/>
          <w:snapToGrid w:val="0"/>
          <w:sz w:val="24"/>
          <w:szCs w:val="24"/>
        </w:rPr>
      </w:pP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הורקהיימר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, מ. "תיאוריה מסורתית ותיאוריה ביקורתית", </w:t>
      </w:r>
      <w:r w:rsidRPr="00464D58">
        <w:rPr>
          <w:rFonts w:asciiTheme="majorBidi" w:hAnsiTheme="majorBidi" w:cstheme="majorBidi"/>
          <w:snapToGrid w:val="0"/>
          <w:sz w:val="24"/>
          <w:szCs w:val="24"/>
          <w:u w:val="single"/>
          <w:rtl/>
        </w:rPr>
        <w:t>אסכולת פרנקפורט</w:t>
      </w:r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, הוצאת ספרית הפועלים, 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עמ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' 57-99</w:t>
      </w:r>
    </w:p>
    <w:p w:rsidR="00404F44" w:rsidRPr="00464D58" w:rsidRDefault="00404F44" w:rsidP="00404F44">
      <w:pPr>
        <w:widowControl w:val="0"/>
        <w:bidi/>
        <w:spacing w:after="0" w:line="360" w:lineRule="auto"/>
        <w:ind w:left="386" w:right="425" w:firstLine="18"/>
        <w:rPr>
          <w:rFonts w:asciiTheme="majorBidi" w:hAnsiTheme="majorBidi" w:cstheme="majorBidi"/>
          <w:snapToGrid w:val="0"/>
          <w:sz w:val="24"/>
          <w:szCs w:val="24"/>
          <w:rtl/>
        </w:rPr>
      </w:pP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הורקהיימר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, מ. "תוספת לתיאוריה מסורתית ותיאוריה ביקורתית", זמנים, 44, 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עמ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' 103-105</w:t>
      </w:r>
    </w:p>
    <w:p w:rsidR="00404F44" w:rsidRPr="00464D58" w:rsidRDefault="00404F44" w:rsidP="00404F44">
      <w:pPr>
        <w:widowControl w:val="0"/>
        <w:bidi/>
        <w:spacing w:after="0"/>
        <w:ind w:right="426" w:firstLine="386"/>
        <w:rPr>
          <w:rFonts w:asciiTheme="majorBidi" w:hAnsiTheme="majorBidi" w:cstheme="majorBidi"/>
          <w:snapToGrid w:val="0"/>
          <w:sz w:val="24"/>
          <w:szCs w:val="24"/>
        </w:rPr>
      </w:pP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אדורנו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, ת. 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והורקיימר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, מ. "תעשיית תרבות: נאורות כהונאת-המונים", 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עמ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' 158 – 198.</w:t>
      </w:r>
    </w:p>
    <w:p w:rsidR="00404F44" w:rsidRPr="00464D58" w:rsidRDefault="00404F44" w:rsidP="00404F44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6D5307" w:rsidRPr="00464D58" w:rsidRDefault="00404F44" w:rsidP="00404F44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t>4</w:t>
      </w:r>
      <w:r w:rsidR="006D5307" w:rsidRPr="00464D58">
        <w:rPr>
          <w:rFonts w:asciiTheme="majorBidi" w:hAnsiTheme="majorBidi" w:cstheme="majorBidi"/>
          <w:sz w:val="24"/>
          <w:szCs w:val="24"/>
          <w:rtl/>
        </w:rPr>
        <w:t xml:space="preserve">. מישל </w:t>
      </w:r>
      <w:proofErr w:type="spellStart"/>
      <w:r w:rsidR="006D5307" w:rsidRPr="00464D58">
        <w:rPr>
          <w:rFonts w:asciiTheme="majorBidi" w:hAnsiTheme="majorBidi" w:cstheme="majorBidi"/>
          <w:sz w:val="24"/>
          <w:szCs w:val="24"/>
          <w:rtl/>
        </w:rPr>
        <w:t>פוקו</w:t>
      </w:r>
      <w:proofErr w:type="spellEnd"/>
    </w:p>
    <w:p w:rsidR="006D5307" w:rsidRPr="00464D58" w:rsidRDefault="006D5307" w:rsidP="006D5307">
      <w:pPr>
        <w:widowControl w:val="0"/>
        <w:bidi/>
        <w:ind w:left="386" w:right="425" w:firstLine="18"/>
        <w:rPr>
          <w:rFonts w:asciiTheme="majorBidi" w:hAnsiTheme="majorBidi" w:cstheme="majorBidi"/>
          <w:snapToGrid w:val="0"/>
          <w:sz w:val="24"/>
          <w:szCs w:val="24"/>
        </w:rPr>
      </w:pP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פוקו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, מ. "הנאורות מהי?", </w:t>
      </w:r>
      <w:r w:rsidRPr="00464D58">
        <w:rPr>
          <w:rFonts w:asciiTheme="majorBidi" w:hAnsiTheme="majorBidi" w:cstheme="majorBidi"/>
          <w:snapToGrid w:val="0"/>
          <w:sz w:val="24"/>
          <w:szCs w:val="24"/>
          <w:u w:val="single"/>
          <w:rtl/>
        </w:rPr>
        <w:t xml:space="preserve">הנאורות- 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u w:val="single"/>
          <w:rtl/>
        </w:rPr>
        <w:t>הפרוייקט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u w:val="single"/>
          <w:rtl/>
        </w:rPr>
        <w:t xml:space="preserve"> שלא נשלם?</w:t>
      </w:r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, עורך: 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עזמי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 בשארה, הוצאת הקיבוץ המאוחד, 1997, 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עמ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' 79-97</w:t>
      </w:r>
    </w:p>
    <w:p w:rsidR="006D5307" w:rsidRPr="00464D58" w:rsidRDefault="006D5307" w:rsidP="006D5307">
      <w:pPr>
        <w:widowControl w:val="0"/>
        <w:bidi/>
        <w:ind w:left="386" w:right="425" w:firstLine="18"/>
        <w:rPr>
          <w:rFonts w:asciiTheme="majorBidi" w:hAnsiTheme="majorBidi" w:cstheme="majorBidi"/>
          <w:snapToGrid w:val="0"/>
          <w:sz w:val="24"/>
          <w:szCs w:val="24"/>
        </w:rPr>
      </w:pP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פוקו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, מ. "ספינת השוטים",  </w:t>
      </w:r>
      <w:r w:rsidRPr="00464D58">
        <w:rPr>
          <w:rFonts w:asciiTheme="majorBidi" w:hAnsiTheme="majorBidi" w:cstheme="majorBidi"/>
          <w:snapToGrid w:val="0"/>
          <w:sz w:val="24"/>
          <w:szCs w:val="24"/>
          <w:u w:val="single"/>
          <w:rtl/>
        </w:rPr>
        <w:t>תולדות השיגעון בעידן התבונה</w:t>
      </w:r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, תרגום: אהרן אמיר, הוצאת כתר, 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עמ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' 11-37</w:t>
      </w:r>
    </w:p>
    <w:p w:rsidR="006D5307" w:rsidRPr="00464D58" w:rsidRDefault="006D5307" w:rsidP="006D5307">
      <w:pPr>
        <w:widowControl w:val="0"/>
        <w:bidi/>
        <w:ind w:left="386" w:right="425" w:firstLine="18"/>
        <w:rPr>
          <w:rFonts w:asciiTheme="majorBidi" w:hAnsiTheme="majorBidi" w:cstheme="majorBidi"/>
          <w:snapToGrid w:val="0"/>
          <w:sz w:val="24"/>
          <w:szCs w:val="24"/>
          <w:rtl/>
        </w:rPr>
      </w:pP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פוקו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, מ. "ההיפותזה הדכאנית", </w:t>
      </w:r>
      <w:r w:rsidRPr="00464D58">
        <w:rPr>
          <w:rFonts w:asciiTheme="majorBidi" w:hAnsiTheme="majorBidi" w:cstheme="majorBidi"/>
          <w:snapToGrid w:val="0"/>
          <w:sz w:val="24"/>
          <w:szCs w:val="24"/>
          <w:u w:val="single"/>
          <w:rtl/>
        </w:rPr>
        <w:t>תולדות המניות 1- הרצון לדעת</w:t>
      </w:r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 xml:space="preserve">, תרגום: גבריאל אש, הוצאת הקיבוץ המאוחד, 1998, 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עמ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  <w:rtl/>
        </w:rPr>
        <w:t>' 15-28.</w:t>
      </w:r>
    </w:p>
    <w:p w:rsidR="006D5307" w:rsidRPr="00464D58" w:rsidRDefault="006D5307" w:rsidP="006D5307">
      <w:pPr>
        <w:widowControl w:val="0"/>
        <w:ind w:left="386" w:right="425" w:firstLine="18"/>
        <w:rPr>
          <w:rFonts w:asciiTheme="majorBidi" w:hAnsiTheme="majorBidi" w:cstheme="majorBidi"/>
          <w:sz w:val="24"/>
          <w:szCs w:val="24"/>
        </w:rPr>
      </w:pPr>
      <w:r w:rsidRPr="00464D58">
        <w:rPr>
          <w:rFonts w:asciiTheme="majorBidi" w:hAnsiTheme="majorBidi" w:cstheme="majorBidi"/>
          <w:snapToGrid w:val="0"/>
          <w:sz w:val="24"/>
          <w:szCs w:val="24"/>
        </w:rPr>
        <w:t>Foucault, M. "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</w:rPr>
        <w:t>Panopticism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</w:rPr>
        <w:t xml:space="preserve">", </w:t>
      </w:r>
      <w:r w:rsidRPr="00464D58">
        <w:rPr>
          <w:rFonts w:asciiTheme="majorBidi" w:hAnsiTheme="majorBidi" w:cstheme="majorBidi"/>
          <w:i/>
          <w:iCs/>
          <w:snapToGrid w:val="0"/>
          <w:sz w:val="24"/>
          <w:szCs w:val="24"/>
        </w:rPr>
        <w:t>Discipline and Punish</w:t>
      </w:r>
      <w:r w:rsidRPr="00464D58">
        <w:rPr>
          <w:rFonts w:asciiTheme="majorBidi" w:hAnsiTheme="majorBidi" w:cstheme="majorBidi"/>
          <w:snapToGrid w:val="0"/>
          <w:sz w:val="24"/>
          <w:szCs w:val="24"/>
        </w:rPr>
        <w:t>, Vintage Books, 1979, pp 195-227</w:t>
      </w:r>
    </w:p>
    <w:p w:rsidR="006D5307" w:rsidRPr="00464D58" w:rsidRDefault="006D5307" w:rsidP="006D5307">
      <w:pPr>
        <w:widowControl w:val="0"/>
        <w:ind w:left="386" w:right="425" w:firstLine="18"/>
        <w:rPr>
          <w:rFonts w:asciiTheme="majorBidi" w:hAnsiTheme="majorBidi" w:cstheme="majorBidi"/>
          <w:sz w:val="24"/>
          <w:szCs w:val="24"/>
        </w:rPr>
      </w:pPr>
      <w:r w:rsidRPr="00464D58">
        <w:rPr>
          <w:rFonts w:asciiTheme="majorBidi" w:hAnsiTheme="majorBidi" w:cstheme="majorBidi"/>
          <w:sz w:val="24"/>
          <w:szCs w:val="24"/>
        </w:rPr>
        <w:t xml:space="preserve">-------------------. “Technologies of the Self,” in </w:t>
      </w:r>
      <w:r w:rsidRPr="00464D58">
        <w:rPr>
          <w:rFonts w:asciiTheme="majorBidi" w:hAnsiTheme="majorBidi" w:cstheme="majorBidi"/>
          <w:i/>
          <w:iCs/>
          <w:sz w:val="24"/>
          <w:szCs w:val="24"/>
        </w:rPr>
        <w:t>Michel Foucault: Ethics Subjectivity and Truth</w:t>
      </w:r>
      <w:r w:rsidRPr="00464D58">
        <w:rPr>
          <w:rFonts w:asciiTheme="majorBidi" w:hAnsiTheme="majorBidi" w:cstheme="majorBidi"/>
          <w:sz w:val="24"/>
          <w:szCs w:val="24"/>
        </w:rPr>
        <w:t>, Essential Works of Foucault, vol. I, pp. 223-228.</w:t>
      </w:r>
    </w:p>
    <w:p w:rsidR="006D5307" w:rsidRPr="00464D58" w:rsidRDefault="00404F44" w:rsidP="006D5307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464D58">
        <w:rPr>
          <w:rFonts w:asciiTheme="majorBidi" w:hAnsiTheme="majorBidi" w:cstheme="majorBidi"/>
          <w:sz w:val="24"/>
          <w:szCs w:val="24"/>
          <w:rtl/>
        </w:rPr>
        <w:t>6</w:t>
      </w:r>
      <w:r w:rsidR="006D5307" w:rsidRPr="00464D58">
        <w:rPr>
          <w:rFonts w:asciiTheme="majorBidi" w:hAnsiTheme="majorBidi" w:cstheme="majorBidi"/>
          <w:sz w:val="24"/>
          <w:szCs w:val="24"/>
          <w:rtl/>
        </w:rPr>
        <w:t xml:space="preserve">. </w:t>
      </w:r>
      <w:proofErr w:type="spellStart"/>
      <w:r w:rsidR="006D5307" w:rsidRPr="00464D58">
        <w:rPr>
          <w:rFonts w:asciiTheme="majorBidi" w:hAnsiTheme="majorBidi" w:cstheme="majorBidi"/>
          <w:sz w:val="24"/>
          <w:szCs w:val="24"/>
          <w:rtl/>
        </w:rPr>
        <w:t>ג'ודית</w:t>
      </w:r>
      <w:proofErr w:type="spellEnd"/>
      <w:r w:rsidR="006D5307" w:rsidRPr="00464D58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6D5307" w:rsidRPr="00464D58">
        <w:rPr>
          <w:rFonts w:asciiTheme="majorBidi" w:hAnsiTheme="majorBidi" w:cstheme="majorBidi"/>
          <w:sz w:val="24"/>
          <w:szCs w:val="24"/>
          <w:rtl/>
        </w:rPr>
        <w:t>בוטלר</w:t>
      </w:r>
      <w:proofErr w:type="spellEnd"/>
    </w:p>
    <w:p w:rsidR="006D5307" w:rsidRPr="00464D58" w:rsidRDefault="006D5307" w:rsidP="006D5307">
      <w:pPr>
        <w:widowControl w:val="0"/>
        <w:spacing w:after="0"/>
        <w:ind w:left="386" w:right="425" w:firstLine="18"/>
        <w:rPr>
          <w:rFonts w:asciiTheme="majorBidi" w:hAnsiTheme="majorBidi" w:cstheme="majorBidi"/>
          <w:snapToGrid w:val="0"/>
          <w:sz w:val="24"/>
          <w:szCs w:val="24"/>
        </w:rPr>
      </w:pPr>
      <w:r w:rsidRPr="00464D58">
        <w:rPr>
          <w:rFonts w:asciiTheme="majorBidi" w:hAnsiTheme="majorBidi" w:cstheme="majorBidi"/>
          <w:snapToGrid w:val="0"/>
          <w:sz w:val="24"/>
          <w:szCs w:val="24"/>
        </w:rPr>
        <w:t xml:space="preserve">Butler, J. </w:t>
      </w:r>
      <w:r w:rsidRPr="00464D58">
        <w:rPr>
          <w:rFonts w:asciiTheme="majorBidi" w:hAnsiTheme="majorBidi" w:cstheme="majorBidi"/>
          <w:i/>
          <w:iCs/>
          <w:snapToGrid w:val="0"/>
          <w:sz w:val="24"/>
          <w:szCs w:val="24"/>
        </w:rPr>
        <w:t>Bodies that Matter</w:t>
      </w:r>
      <w:r w:rsidRPr="00464D58">
        <w:rPr>
          <w:rFonts w:asciiTheme="majorBidi" w:hAnsiTheme="majorBidi" w:cstheme="majorBidi"/>
          <w:snapToGrid w:val="0"/>
          <w:sz w:val="24"/>
          <w:szCs w:val="24"/>
        </w:rPr>
        <w:t xml:space="preserve">, New York: 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</w:rPr>
        <w:t>Routledge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</w:rPr>
        <w:t>, 1999. Chapter 8, pp. 223-242</w:t>
      </w:r>
    </w:p>
    <w:p w:rsidR="006D5307" w:rsidRPr="00464D58" w:rsidRDefault="006D5307" w:rsidP="006D5307">
      <w:pPr>
        <w:widowControl w:val="0"/>
        <w:spacing w:after="0"/>
        <w:ind w:left="386" w:right="425" w:firstLine="18"/>
        <w:rPr>
          <w:rFonts w:asciiTheme="majorBidi" w:hAnsiTheme="majorBidi" w:cstheme="majorBidi"/>
          <w:snapToGrid w:val="0"/>
          <w:sz w:val="24"/>
          <w:szCs w:val="24"/>
        </w:rPr>
      </w:pPr>
    </w:p>
    <w:p w:rsidR="003F1C97" w:rsidRPr="00464D58" w:rsidRDefault="006D5307" w:rsidP="003F1C97">
      <w:pPr>
        <w:widowControl w:val="0"/>
        <w:spacing w:after="0"/>
        <w:ind w:left="386" w:right="425" w:firstLine="18"/>
        <w:rPr>
          <w:rFonts w:asciiTheme="majorBidi" w:hAnsiTheme="majorBidi" w:cstheme="majorBidi"/>
          <w:snapToGrid w:val="0"/>
          <w:sz w:val="24"/>
          <w:szCs w:val="24"/>
        </w:rPr>
      </w:pPr>
      <w:proofErr w:type="gramStart"/>
      <w:r w:rsidRPr="00464D58">
        <w:rPr>
          <w:rFonts w:asciiTheme="majorBidi" w:hAnsiTheme="majorBidi" w:cstheme="majorBidi"/>
          <w:snapToGrid w:val="0"/>
          <w:sz w:val="24"/>
          <w:szCs w:val="24"/>
        </w:rPr>
        <w:t>------------- “</w:t>
      </w:r>
      <w:proofErr w:type="spellStart"/>
      <w:r w:rsidRPr="00464D58">
        <w:rPr>
          <w:rFonts w:asciiTheme="majorBidi" w:hAnsiTheme="majorBidi" w:cstheme="majorBidi"/>
          <w:snapToGrid w:val="0"/>
          <w:sz w:val="24"/>
          <w:szCs w:val="24"/>
        </w:rPr>
        <w:t>Performative</w:t>
      </w:r>
      <w:proofErr w:type="spellEnd"/>
      <w:r w:rsidRPr="00464D58">
        <w:rPr>
          <w:rFonts w:asciiTheme="majorBidi" w:hAnsiTheme="majorBidi" w:cstheme="majorBidi"/>
          <w:snapToGrid w:val="0"/>
          <w:sz w:val="24"/>
          <w:szCs w:val="24"/>
        </w:rPr>
        <w:t xml:space="preserve"> Acts and Gender Constitution: An Essay in Phenomenology and Feminist Theory.”</w:t>
      </w:r>
      <w:proofErr w:type="gramEnd"/>
      <w:r w:rsidRPr="00464D58"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  <w:r w:rsidRPr="00464D58">
        <w:rPr>
          <w:rFonts w:asciiTheme="majorBidi" w:hAnsiTheme="majorBidi" w:cstheme="majorBidi"/>
          <w:i/>
          <w:iCs/>
          <w:snapToGrid w:val="0"/>
          <w:sz w:val="24"/>
          <w:szCs w:val="24"/>
        </w:rPr>
        <w:t>Theatre Journal</w:t>
      </w:r>
      <w:r w:rsidR="003F1C97" w:rsidRPr="00464D58">
        <w:rPr>
          <w:rFonts w:asciiTheme="majorBidi" w:hAnsiTheme="majorBidi" w:cstheme="majorBidi"/>
          <w:snapToGrid w:val="0"/>
          <w:sz w:val="24"/>
          <w:szCs w:val="24"/>
        </w:rPr>
        <w:t>, 1988; 40(4):519-531.</w:t>
      </w:r>
    </w:p>
    <w:p w:rsidR="003F1C97" w:rsidRPr="00464D58" w:rsidRDefault="003F1C97" w:rsidP="003F1C97">
      <w:pPr>
        <w:widowControl w:val="0"/>
        <w:spacing w:after="0"/>
        <w:ind w:left="386" w:right="425" w:firstLine="18"/>
        <w:rPr>
          <w:rFonts w:asciiTheme="majorBidi" w:hAnsiTheme="majorBidi" w:cstheme="majorBidi"/>
          <w:snapToGrid w:val="0"/>
          <w:sz w:val="24"/>
          <w:szCs w:val="24"/>
        </w:rPr>
      </w:pPr>
    </w:p>
    <w:p w:rsidR="00464D58" w:rsidRDefault="00464D58" w:rsidP="00FF320E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E95CEF" w:rsidRPr="00464D58" w:rsidRDefault="00E95CEF" w:rsidP="00FF320E">
      <w:pPr>
        <w:spacing w:line="36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3F1C97" w:rsidRPr="00464D58" w:rsidRDefault="003F1C97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sectPr w:rsidR="003F1C97" w:rsidRPr="00464D58" w:rsidSect="006D5307">
      <w:pgSz w:w="12240" w:h="15840" w:code="1"/>
      <w:pgMar w:top="850" w:right="1699" w:bottom="1138" w:left="1411" w:header="706" w:footer="706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65CB"/>
    <w:multiLevelType w:val="hybridMultilevel"/>
    <w:tmpl w:val="EAD8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6348"/>
    <w:multiLevelType w:val="hybridMultilevel"/>
    <w:tmpl w:val="A4F6097E"/>
    <w:lvl w:ilvl="0" w:tplc="8BA6ED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532B"/>
    <w:multiLevelType w:val="hybridMultilevel"/>
    <w:tmpl w:val="DCA4F8BE"/>
    <w:lvl w:ilvl="0" w:tplc="B644B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B3CD0"/>
    <w:multiLevelType w:val="hybridMultilevel"/>
    <w:tmpl w:val="3A04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A3787"/>
    <w:multiLevelType w:val="hybridMultilevel"/>
    <w:tmpl w:val="DCA4F8BE"/>
    <w:lvl w:ilvl="0" w:tplc="B644B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307"/>
    <w:rsid w:val="0011320E"/>
    <w:rsid w:val="001263F7"/>
    <w:rsid w:val="0032278F"/>
    <w:rsid w:val="003F1C97"/>
    <w:rsid w:val="00404F44"/>
    <w:rsid w:val="00464D58"/>
    <w:rsid w:val="0050451A"/>
    <w:rsid w:val="0069647B"/>
    <w:rsid w:val="006D5307"/>
    <w:rsid w:val="0071407C"/>
    <w:rsid w:val="00730365"/>
    <w:rsid w:val="007636AA"/>
    <w:rsid w:val="009D70FD"/>
    <w:rsid w:val="00A4472E"/>
    <w:rsid w:val="00A56E7A"/>
    <w:rsid w:val="00B76FB1"/>
    <w:rsid w:val="00BC2783"/>
    <w:rsid w:val="00BD6FDC"/>
    <w:rsid w:val="00C10804"/>
    <w:rsid w:val="00CB3D76"/>
    <w:rsid w:val="00D27D33"/>
    <w:rsid w:val="00D64690"/>
    <w:rsid w:val="00E95CEF"/>
    <w:rsid w:val="00F03FEE"/>
    <w:rsid w:val="00FA4FBD"/>
    <w:rsid w:val="00FF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07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benshmer</cp:lastModifiedBy>
  <cp:revision>2</cp:revision>
  <dcterms:created xsi:type="dcterms:W3CDTF">2014-03-10T09:37:00Z</dcterms:created>
  <dcterms:modified xsi:type="dcterms:W3CDTF">2014-03-10T09:37:00Z</dcterms:modified>
</cp:coreProperties>
</file>