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7" w:rsidRDefault="00977ED7" w:rsidP="00977ED7">
      <w:pPr>
        <w:rPr>
          <w:rFonts w:cs="David" w:hint="cs"/>
          <w:noProof w:val="0"/>
          <w:sz w:val="24"/>
          <w:szCs w:val="24"/>
          <w:rtl/>
        </w:rPr>
      </w:pPr>
      <w:bookmarkStart w:id="0" w:name="_GoBack"/>
      <w:bookmarkEnd w:id="0"/>
    </w:p>
    <w:p w:rsidR="00A3286F" w:rsidRPr="00FE5300" w:rsidRDefault="00A3286F" w:rsidP="00A3286F">
      <w:pPr>
        <w:rPr>
          <w:rFonts w:asciiTheme="minorBidi" w:hAnsiTheme="minorBidi"/>
          <w:b/>
          <w:bCs/>
          <w:sz w:val="24"/>
          <w:szCs w:val="24"/>
          <w:rtl/>
        </w:rPr>
      </w:pPr>
      <w:r w:rsidRPr="00FE5300">
        <w:rPr>
          <w:rFonts w:asciiTheme="minorBidi" w:hAnsiTheme="minorBidi"/>
          <w:rtl/>
        </w:rPr>
        <w:t>פרופ' ניב גורדון</w:t>
      </w:r>
    </w:p>
    <w:p w:rsidR="00A3286F" w:rsidRPr="00FE5300" w:rsidRDefault="007776C2" w:rsidP="00A3286F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תיאוריות במדעי המדינה</w:t>
      </w:r>
    </w:p>
    <w:p w:rsidR="00A3286F" w:rsidRPr="00FE5300" w:rsidRDefault="007776C2" w:rsidP="00A3286F">
      <w:pPr>
        <w:spacing w:line="360" w:lineRule="auto"/>
        <w:jc w:val="center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</w:rPr>
        <w:t>138</w:t>
      </w:r>
      <w:r w:rsidR="00A3286F" w:rsidRPr="00FE5300">
        <w:rPr>
          <w:rFonts w:asciiTheme="minorBidi" w:hAnsiTheme="minorBidi"/>
          <w:b/>
          <w:bCs/>
        </w:rPr>
        <w:t>-2-</w:t>
      </w:r>
      <w:r>
        <w:rPr>
          <w:rFonts w:asciiTheme="minorBidi" w:hAnsiTheme="minorBidi"/>
          <w:b/>
          <w:bCs/>
        </w:rPr>
        <w:t>0034/44</w:t>
      </w:r>
    </w:p>
    <w:p w:rsidR="00A3286F" w:rsidRPr="00FE5300" w:rsidRDefault="00A3286F" w:rsidP="00085FCB">
      <w:pPr>
        <w:spacing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FE5300">
        <w:rPr>
          <w:rFonts w:asciiTheme="minorBidi" w:hAnsiTheme="minorBidi"/>
          <w:rtl/>
        </w:rPr>
        <w:t xml:space="preserve">יום </w:t>
      </w:r>
      <w:r w:rsidR="00085FCB">
        <w:rPr>
          <w:rFonts w:asciiTheme="minorBidi" w:hAnsiTheme="minorBidi" w:hint="cs"/>
          <w:rtl/>
        </w:rPr>
        <w:t>ג</w:t>
      </w:r>
      <w:r w:rsidRPr="00FE5300">
        <w:rPr>
          <w:rFonts w:asciiTheme="minorBidi" w:hAnsiTheme="minorBidi"/>
          <w:rtl/>
        </w:rPr>
        <w:t xml:space="preserve">' </w:t>
      </w:r>
      <w:r w:rsidRPr="00FE5300">
        <w:rPr>
          <w:rFonts w:asciiTheme="minorBidi" w:hAnsiTheme="minorBidi"/>
        </w:rPr>
        <w:t>1</w:t>
      </w:r>
      <w:r w:rsidR="00085FCB">
        <w:rPr>
          <w:rFonts w:asciiTheme="minorBidi" w:hAnsiTheme="minorBidi"/>
        </w:rPr>
        <w:t>0</w:t>
      </w:r>
      <w:r w:rsidRPr="00FE5300">
        <w:rPr>
          <w:rFonts w:asciiTheme="minorBidi" w:hAnsiTheme="minorBidi"/>
        </w:rPr>
        <w:t>:00-1</w:t>
      </w:r>
      <w:r w:rsidR="00085FCB">
        <w:rPr>
          <w:rFonts w:asciiTheme="minorBidi" w:hAnsiTheme="minorBidi"/>
        </w:rPr>
        <w:t>2</w:t>
      </w:r>
      <w:r w:rsidRPr="00FE5300">
        <w:rPr>
          <w:rFonts w:asciiTheme="minorBidi" w:hAnsiTheme="minorBidi"/>
        </w:rPr>
        <w:t>:00</w:t>
      </w:r>
    </w:p>
    <w:p w:rsidR="00977ED7" w:rsidRDefault="00977ED7" w:rsidP="00977ED7">
      <w:pPr>
        <w:rPr>
          <w:rFonts w:cs="David"/>
          <w:noProof w:val="0"/>
          <w:sz w:val="24"/>
          <w:szCs w:val="24"/>
          <w:rtl/>
        </w:rPr>
      </w:pPr>
    </w:p>
    <w:p w:rsidR="00977ED7" w:rsidRPr="00A3286F" w:rsidRDefault="00977ED7" w:rsidP="00977ED7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977ED7" w:rsidRPr="00491F45" w:rsidRDefault="00977ED7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בקורס זה נבחן </w:t>
      </w:r>
      <w:r w:rsidR="00D67341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מספר 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מושגים </w:t>
      </w:r>
      <w:r w:rsidR="00A3286F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פוליטיים 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מנקודת מבט של 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>תיאוריות מרכזיות במדעי המדינה.</w:t>
      </w:r>
      <w:r w:rsidRPr="00491F45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>נתרכז ב</w:t>
      </w:r>
      <w:r w:rsidR="00D67341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שני 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>מושגים</w:t>
      </w:r>
      <w:r w:rsidR="00D67341" w:rsidRPr="00491F45">
        <w:rPr>
          <w:rFonts w:asciiTheme="majorBidi" w:hAnsiTheme="majorBidi" w:cstheme="majorBidi"/>
          <w:noProof w:val="0"/>
          <w:sz w:val="24"/>
          <w:szCs w:val="24"/>
          <w:rtl/>
        </w:rPr>
        <w:t>—</w:t>
      </w:r>
      <w:r w:rsidR="00574804" w:rsidRPr="00574804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="00574804">
        <w:rPr>
          <w:rFonts w:asciiTheme="majorBidi" w:hAnsiTheme="majorBidi" w:cstheme="majorBidi" w:hint="cs"/>
          <w:noProof w:val="0"/>
          <w:sz w:val="24"/>
          <w:szCs w:val="24"/>
          <w:rtl/>
        </w:rPr>
        <w:t>א</w:t>
      </w:r>
      <w:r w:rsidR="00574804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זרחות </w:t>
      </w:r>
      <w:r w:rsidR="00574804" w:rsidRPr="00491F45">
        <w:rPr>
          <w:rFonts w:asciiTheme="majorBidi" w:hAnsiTheme="majorBidi" w:cstheme="majorBidi"/>
          <w:noProof w:val="0"/>
          <w:sz w:val="24"/>
          <w:szCs w:val="24"/>
        </w:rPr>
        <w:t>(citizenship</w:t>
      </w:r>
      <w:r w:rsidR="00574804">
        <w:rPr>
          <w:rFonts w:asciiTheme="majorBidi" w:hAnsiTheme="majorBidi" w:cstheme="majorBidi"/>
          <w:noProof w:val="0"/>
          <w:sz w:val="24"/>
          <w:szCs w:val="24"/>
        </w:rPr>
        <w:t>)</w:t>
      </w:r>
      <w:r w:rsidR="00574804">
        <w:rPr>
          <w:rFonts w:asciiTheme="majorBidi" w:hAnsiTheme="majorBidi" w:cstheme="majorBidi" w:hint="cs"/>
          <w:noProof w:val="0"/>
          <w:sz w:val="24"/>
          <w:szCs w:val="24"/>
          <w:rtl/>
        </w:rPr>
        <w:t>,</w:t>
      </w:r>
      <w:r w:rsidR="00574804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>ביטחון (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</w:rPr>
        <w:t>security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>)</w:t>
      </w:r>
      <w:r w:rsidR="00491F45" w:rsidRPr="00491F45">
        <w:rPr>
          <w:rFonts w:asciiTheme="majorBidi" w:hAnsiTheme="majorBidi" w:cstheme="majorBidi"/>
          <w:noProof w:val="0"/>
          <w:sz w:val="24"/>
          <w:szCs w:val="24"/>
          <w:rtl/>
        </w:rPr>
        <w:t>,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וזכויות אדם (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</w:rPr>
        <w:t>human rights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>)</w:t>
      </w:r>
      <w:r w:rsidR="00D67341" w:rsidRPr="00491F45">
        <w:rPr>
          <w:rFonts w:asciiTheme="majorBidi" w:hAnsiTheme="majorBidi" w:cstheme="majorBidi"/>
          <w:noProof w:val="0"/>
          <w:sz w:val="24"/>
          <w:szCs w:val="24"/>
          <w:rtl/>
        </w:rPr>
        <w:t>—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>ו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>נ</w:t>
      </w:r>
      <w:r w:rsidR="00A3286F" w:rsidRPr="00491F45">
        <w:rPr>
          <w:rFonts w:asciiTheme="majorBidi" w:hAnsiTheme="majorBidi" w:cstheme="majorBidi"/>
          <w:noProof w:val="0"/>
          <w:sz w:val="24"/>
          <w:szCs w:val="24"/>
          <w:rtl/>
        </w:rPr>
        <w:t>תחקה אחר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הקשר </w:t>
      </w:r>
      <w:r w:rsidR="00A0417A" w:rsidRPr="00491F45">
        <w:rPr>
          <w:rFonts w:asciiTheme="majorBidi" w:hAnsiTheme="majorBidi" w:cstheme="majorBidi"/>
          <w:noProof w:val="0"/>
          <w:sz w:val="24"/>
          <w:szCs w:val="24"/>
          <w:rtl/>
        </w:rPr>
        <w:t>ביניהם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ובין שורה של מושגים </w:t>
      </w:r>
      <w:r w:rsidR="00D67341" w:rsidRPr="00491F45">
        <w:rPr>
          <w:rFonts w:asciiTheme="majorBidi" w:hAnsiTheme="majorBidi" w:cstheme="majorBidi"/>
          <w:noProof w:val="0"/>
          <w:sz w:val="24"/>
          <w:szCs w:val="24"/>
          <w:rtl/>
        </w:rPr>
        <w:t>בסיסיים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="00A3286F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אחרים 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כמו </w:t>
      </w:r>
      <w:r w:rsidR="00B417D2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מדינה, 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>ריבונות, דמוקרטיה, סוכנות (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</w:rPr>
        <w:t>agency</w:t>
      </w:r>
      <w:r w:rsidR="00843925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), </w:t>
      </w:r>
      <w:r w:rsidR="00A0417A" w:rsidRPr="00491F45">
        <w:rPr>
          <w:rFonts w:asciiTheme="majorBidi" w:hAnsiTheme="majorBidi" w:cstheme="majorBidi"/>
          <w:noProof w:val="0"/>
          <w:sz w:val="24"/>
          <w:szCs w:val="24"/>
          <w:rtl/>
        </w:rPr>
        <w:t>ומשילות (</w:t>
      </w:r>
      <w:r w:rsidR="00A0417A" w:rsidRPr="00491F45">
        <w:rPr>
          <w:rFonts w:asciiTheme="majorBidi" w:hAnsiTheme="majorBidi" w:cstheme="majorBidi"/>
          <w:noProof w:val="0"/>
          <w:sz w:val="24"/>
          <w:szCs w:val="24"/>
        </w:rPr>
        <w:t>governance</w:t>
      </w:r>
      <w:r w:rsidR="00A0417A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). </w:t>
      </w:r>
      <w:r w:rsidR="004A7179" w:rsidRPr="00491F45">
        <w:rPr>
          <w:rFonts w:asciiTheme="majorBidi" w:hAnsiTheme="majorBidi" w:cstheme="majorBidi"/>
          <w:noProof w:val="0"/>
          <w:sz w:val="24"/>
          <w:szCs w:val="24"/>
          <w:rtl/>
        </w:rPr>
        <w:t>לאחר ש</w:t>
      </w:r>
      <w:r w:rsidR="00D67341" w:rsidRPr="00491F45">
        <w:rPr>
          <w:rFonts w:asciiTheme="majorBidi" w:hAnsiTheme="majorBidi" w:cstheme="majorBidi"/>
          <w:noProof w:val="0"/>
          <w:sz w:val="24"/>
          <w:szCs w:val="24"/>
          <w:rtl/>
        </w:rPr>
        <w:t>נראה שהמשמעות של המושגים הללו תלויה בעדשה התיאורטית בה אנו משתמשים</w:t>
      </w:r>
      <w:r w:rsidR="004A7179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, </w:t>
      </w:r>
      <w:r w:rsidR="00D67341" w:rsidRPr="00491F45">
        <w:rPr>
          <w:rFonts w:asciiTheme="majorBidi" w:hAnsiTheme="majorBidi" w:cstheme="majorBidi"/>
          <w:noProof w:val="0"/>
          <w:sz w:val="24"/>
          <w:szCs w:val="24"/>
          <w:rtl/>
        </w:rPr>
        <w:t>נ</w:t>
      </w:r>
      <w:r w:rsidR="00A3286F" w:rsidRPr="00491F45">
        <w:rPr>
          <w:rFonts w:asciiTheme="majorBidi" w:hAnsiTheme="majorBidi" w:cstheme="majorBidi"/>
          <w:noProof w:val="0"/>
          <w:sz w:val="24"/>
          <w:szCs w:val="24"/>
          <w:rtl/>
        </w:rPr>
        <w:t>בחן את</w:t>
      </w:r>
      <w:r w:rsidR="00D67341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="00A0417A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התרומה של 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>תיאורי</w:t>
      </w:r>
      <w:r w:rsidR="00491F45" w:rsidRPr="00491F45">
        <w:rPr>
          <w:rFonts w:asciiTheme="majorBidi" w:hAnsiTheme="majorBidi" w:cstheme="majorBidi"/>
          <w:noProof w:val="0"/>
          <w:sz w:val="24"/>
          <w:szCs w:val="24"/>
          <w:rtl/>
        </w:rPr>
        <w:t>ות שונות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להב</w:t>
      </w:r>
      <w:r w:rsidR="004A7179" w:rsidRPr="00491F45">
        <w:rPr>
          <w:rFonts w:asciiTheme="majorBidi" w:hAnsiTheme="majorBidi" w:cstheme="majorBidi"/>
          <w:noProof w:val="0"/>
          <w:sz w:val="24"/>
          <w:szCs w:val="24"/>
          <w:rtl/>
        </w:rPr>
        <w:t>נת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="00574804">
        <w:rPr>
          <w:rFonts w:asciiTheme="majorBidi" w:hAnsiTheme="majorBidi" w:cstheme="majorBidi" w:hint="cs"/>
          <w:noProof w:val="0"/>
          <w:sz w:val="24"/>
          <w:szCs w:val="24"/>
          <w:rtl/>
        </w:rPr>
        <w:t>המושגים ו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>תהליכים פוליטיים</w:t>
      </w:r>
      <w:r w:rsidR="00D67341"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="00574804">
        <w:rPr>
          <w:rFonts w:asciiTheme="majorBidi" w:hAnsiTheme="majorBidi" w:cstheme="majorBidi" w:hint="cs"/>
          <w:noProof w:val="0"/>
          <w:sz w:val="24"/>
          <w:szCs w:val="24"/>
          <w:rtl/>
        </w:rPr>
        <w:t>שונים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>.</w:t>
      </w:r>
    </w:p>
    <w:p w:rsidR="00977ED7" w:rsidRPr="00491F45" w:rsidRDefault="00977ED7" w:rsidP="00977ED7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4A7179" w:rsidRPr="00491F45" w:rsidRDefault="004A7179" w:rsidP="00977ED7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4A7179" w:rsidRPr="00491F45" w:rsidRDefault="00A3286F" w:rsidP="00977ED7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491F45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חובות הקורס:</w:t>
      </w:r>
    </w:p>
    <w:p w:rsidR="00A3286F" w:rsidRPr="00491F45" w:rsidRDefault="00A3286F" w:rsidP="00574804">
      <w:pPr>
        <w:pStyle w:val="a6"/>
        <w:numPr>
          <w:ilvl w:val="0"/>
          <w:numId w:val="1"/>
        </w:numPr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491F45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השתתפות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חובה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(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היעדרות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של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יותר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="00574804">
        <w:rPr>
          <w:rFonts w:asciiTheme="majorBidi" w:hAnsiTheme="majorBidi" w:cstheme="majorBidi" w:hint="cs"/>
          <w:noProof w:val="0"/>
          <w:sz w:val="24"/>
          <w:szCs w:val="24"/>
          <w:rtl/>
          <w:lang w:bidi="he-IL"/>
        </w:rPr>
        <w:t>משני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שיעורים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פירושה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  <w:lang w:bidi="he-IL"/>
        </w:rPr>
        <w:t>כישלון</w:t>
      </w:r>
      <w:r w:rsidRPr="00491F45">
        <w:rPr>
          <w:rFonts w:asciiTheme="majorBidi" w:hAnsiTheme="majorBidi" w:cstheme="majorBidi"/>
          <w:noProof w:val="0"/>
          <w:sz w:val="24"/>
          <w:szCs w:val="24"/>
          <w:rtl/>
        </w:rPr>
        <w:t>)</w:t>
      </w:r>
    </w:p>
    <w:p w:rsidR="00A3286F" w:rsidRPr="00491F45" w:rsidRDefault="00A3286F" w:rsidP="00085FCB">
      <w:pPr>
        <w:pStyle w:val="a6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רפרט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כל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סטודנט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יכין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85FCB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שני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רפרט</w:t>
      </w:r>
      <w:r w:rsidR="00085FCB">
        <w:rPr>
          <w:rFonts w:asciiTheme="majorBidi" w:hAnsiTheme="majorBidi" w:cstheme="majorBidi" w:hint="cs"/>
          <w:sz w:val="24"/>
          <w:szCs w:val="24"/>
          <w:rtl/>
          <w:lang w:bidi="he-IL"/>
        </w:rPr>
        <w:t>ים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אורך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הרפרט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עד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עמוד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אחד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את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הרפרט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יש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להעביר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למשתתפים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בסמינר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שבוע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לפני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השיעור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בדואר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אלקטרוני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).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במקביל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יש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להכין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הצגה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של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עד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</w:rPr>
        <w:t xml:space="preserve"> 10 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דקות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של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חומר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הקריאה (10%)</w:t>
      </w:r>
      <w:r w:rsidRPr="00491F45">
        <w:rPr>
          <w:rFonts w:asciiTheme="majorBidi" w:hAnsiTheme="majorBidi" w:cstheme="majorBidi"/>
          <w:sz w:val="24"/>
          <w:szCs w:val="24"/>
          <w:rtl/>
        </w:rPr>
        <w:t>.</w:t>
      </w:r>
    </w:p>
    <w:p w:rsidR="00A3286F" w:rsidRPr="00491F45" w:rsidRDefault="00A3286F" w:rsidP="00A3286F">
      <w:pPr>
        <w:pStyle w:val="a6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תגובת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קריאה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כל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סטודנט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יגיב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לרפרט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לאחר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שקרא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הן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את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חומר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הקריאה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והן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את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הרפרט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אורך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התגובה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פסקה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אחת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יש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להעביר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את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התגובה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לכל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המשתתפים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בסמינר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עד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יומיים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לפני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השיעור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 xml:space="preserve"> (10%)</w:t>
      </w:r>
      <w:r w:rsidRPr="00491F45">
        <w:rPr>
          <w:rFonts w:asciiTheme="majorBidi" w:hAnsiTheme="majorBidi" w:cstheme="majorBidi"/>
          <w:sz w:val="24"/>
          <w:szCs w:val="24"/>
          <w:rtl/>
        </w:rPr>
        <w:t>.</w:t>
      </w:r>
    </w:p>
    <w:p w:rsidR="00A3286F" w:rsidRPr="00491F45" w:rsidRDefault="00A3286F" w:rsidP="00A3286F">
      <w:pPr>
        <w:pStyle w:val="a6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עבודת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סיום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תנאי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להגשת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העבודה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היא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עמידה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בכל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בחובות</w:t>
      </w:r>
      <w:r w:rsidRPr="00491F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1F45">
        <w:rPr>
          <w:rFonts w:asciiTheme="majorBidi" w:hAnsiTheme="majorBidi" w:cstheme="majorBidi"/>
          <w:sz w:val="24"/>
          <w:szCs w:val="24"/>
          <w:rtl/>
          <w:lang w:bidi="he-IL"/>
        </w:rPr>
        <w:t>הקורס (80%)</w:t>
      </w:r>
      <w:r w:rsidRPr="00491F45">
        <w:rPr>
          <w:rFonts w:asciiTheme="majorBidi" w:hAnsiTheme="majorBidi" w:cstheme="majorBidi"/>
          <w:sz w:val="24"/>
          <w:szCs w:val="24"/>
          <w:rtl/>
        </w:rPr>
        <w:t>.</w:t>
      </w:r>
    </w:p>
    <w:p w:rsidR="00A3286F" w:rsidRPr="00491F45" w:rsidRDefault="00A3286F" w:rsidP="00977ED7">
      <w:pPr>
        <w:rPr>
          <w:rFonts w:asciiTheme="majorBidi" w:hAnsiTheme="majorBidi" w:cstheme="majorBidi"/>
          <w:noProof w:val="0"/>
          <w:sz w:val="24"/>
          <w:szCs w:val="24"/>
          <w:rtl/>
          <w:lang w:bidi="ar-SA"/>
        </w:rPr>
      </w:pPr>
    </w:p>
    <w:p w:rsidR="00574804" w:rsidRPr="00574804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574804">
        <w:rPr>
          <w:rFonts w:asciiTheme="majorBidi" w:hAnsiTheme="majorBidi"/>
          <w:noProof w:val="0"/>
          <w:sz w:val="24"/>
          <w:szCs w:val="24"/>
          <w:rtl/>
        </w:rPr>
        <w:t>לוח זמנים</w:t>
      </w:r>
    </w:p>
    <w:p w:rsidR="00574804" w:rsidRPr="00574804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Pr="001200E5" w:rsidRDefault="00574804" w:rsidP="00574804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200E5">
        <w:rPr>
          <w:rFonts w:asciiTheme="majorBidi" w:hAnsiTheme="majorBidi"/>
          <w:b/>
          <w:bCs/>
          <w:noProof w:val="0"/>
          <w:sz w:val="24"/>
          <w:szCs w:val="24"/>
          <w:rtl/>
        </w:rPr>
        <w:t>2</w:t>
      </w:r>
      <w:r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9</w:t>
      </w:r>
      <w:r w:rsidRPr="001200E5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באוקטובר: מבוא, הצגת הקורס</w:t>
      </w:r>
    </w:p>
    <w:p w:rsidR="00574804" w:rsidRPr="00574804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Pr="001200E5" w:rsidRDefault="00574804" w:rsidP="00730241">
      <w:pPr>
        <w:rPr>
          <w:rFonts w:asciiTheme="majorBidi" w:hAnsiTheme="majorBidi"/>
          <w:b/>
          <w:bCs/>
          <w:noProof w:val="0"/>
          <w:sz w:val="24"/>
          <w:szCs w:val="24"/>
          <w:rtl/>
        </w:rPr>
      </w:pPr>
      <w:r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12</w:t>
      </w:r>
      <w:r w:rsidRPr="001200E5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בנובמבר: </w:t>
      </w:r>
      <w:r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אזרחות</w:t>
      </w:r>
      <w:r w:rsidR="00730241" w:rsidRPr="001200E5">
        <w:rPr>
          <w:rFonts w:asciiTheme="majorBidi" w:hAnsiTheme="majorBidi"/>
          <w:b/>
          <w:bCs/>
          <w:noProof w:val="0"/>
          <w:sz w:val="24"/>
          <w:szCs w:val="24"/>
          <w:rtl/>
        </w:rPr>
        <w:t>—</w:t>
      </w:r>
      <w:r w:rsidR="00730241"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הסתכלות היסטורית</w:t>
      </w:r>
      <w:r w:rsidR="00E51C67"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 xml:space="preserve"> והגישה </w:t>
      </w:r>
      <w:proofErr w:type="spellStart"/>
      <w:r w:rsidR="00E51C67"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הרפובליקאנית</w:t>
      </w:r>
      <w:proofErr w:type="spellEnd"/>
      <w:r w:rsidR="00E51C67"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 xml:space="preserve"> הקלאסית</w:t>
      </w:r>
    </w:p>
    <w:p w:rsidR="00730241" w:rsidRPr="00B876D5" w:rsidRDefault="00730241" w:rsidP="00730241">
      <w:pPr>
        <w:bidi w:val="0"/>
        <w:rPr>
          <w:rFonts w:cs="David"/>
          <w:b/>
          <w:bCs/>
          <w:rtl/>
        </w:rPr>
      </w:pPr>
      <w:r w:rsidRPr="00B876D5">
        <w:rPr>
          <w:rFonts w:cs="David"/>
          <w:lang w:bidi="ar-SA"/>
        </w:rPr>
        <w:t>J.G.A. Pocock, “The Ideal of Citizenship sinc</w:t>
      </w:r>
      <w:r>
        <w:rPr>
          <w:rFonts w:cs="David"/>
          <w:lang w:bidi="ar-SA"/>
        </w:rPr>
        <w:t xml:space="preserve">e Classical Times,” in Shafir, </w:t>
      </w:r>
      <w:r w:rsidRPr="00B876D5">
        <w:rPr>
          <w:rFonts w:cs="David"/>
          <w:lang w:bidi="ar-SA"/>
        </w:rPr>
        <w:t>pp. 31-41.</w:t>
      </w:r>
    </w:p>
    <w:p w:rsidR="00730241" w:rsidRPr="00B876D5" w:rsidRDefault="00730241" w:rsidP="00730241">
      <w:pPr>
        <w:bidi w:val="0"/>
        <w:ind w:firstLine="720"/>
        <w:rPr>
          <w:rFonts w:cs="David"/>
          <w:b/>
          <w:bCs/>
          <w:rtl/>
        </w:rPr>
      </w:pPr>
    </w:p>
    <w:p w:rsidR="00730241" w:rsidRPr="00B876D5" w:rsidRDefault="00730241" w:rsidP="00730241">
      <w:pPr>
        <w:bidi w:val="0"/>
        <w:ind w:right="720"/>
        <w:rPr>
          <w:rFonts w:cs="David"/>
          <w:rtl/>
        </w:rPr>
      </w:pPr>
      <w:r w:rsidRPr="00B876D5">
        <w:rPr>
          <w:rFonts w:cs="David"/>
          <w:lang w:bidi="ar-SA"/>
        </w:rPr>
        <w:t>Max Weber, “Citizenship in Ancient and Medieval Cities,” in Shafir, pp.43-49.</w:t>
      </w:r>
    </w:p>
    <w:p w:rsidR="00E51C67" w:rsidRDefault="00E51C67" w:rsidP="00E51C67">
      <w:pPr>
        <w:rPr>
          <w:rFonts w:cs="David"/>
          <w:rtl/>
        </w:rPr>
      </w:pPr>
    </w:p>
    <w:p w:rsidR="00E51C67" w:rsidRDefault="00E51C67" w:rsidP="00E51C67">
      <w:pPr>
        <w:rPr>
          <w:rFonts w:cs="David"/>
          <w:rtl/>
        </w:rPr>
      </w:pPr>
      <w:r w:rsidRPr="00B876D5">
        <w:rPr>
          <w:rFonts w:cs="David" w:hint="cs"/>
          <w:rtl/>
        </w:rPr>
        <w:t xml:space="preserve">ז'אן-ז'אק רוסו, </w:t>
      </w:r>
      <w:r w:rsidRPr="00B876D5">
        <w:rPr>
          <w:rFonts w:cs="David" w:hint="cs"/>
          <w:i/>
          <w:iCs/>
          <w:rtl/>
        </w:rPr>
        <w:t>על האמנה החברתית</w:t>
      </w:r>
      <w:r w:rsidRPr="00B876D5">
        <w:rPr>
          <w:rFonts w:cs="David" w:hint="cs"/>
          <w:rtl/>
        </w:rPr>
        <w:t>, תרגם יוסף אור, ירושלים: מאגנס, תשל"ה, עמ' 7-82, 98-101, 124-148, 154-162.</w:t>
      </w:r>
    </w:p>
    <w:p w:rsidR="00E51C67" w:rsidRDefault="00E51C67" w:rsidP="00E51C67">
      <w:pPr>
        <w:rPr>
          <w:rFonts w:cs="David"/>
          <w:rtl/>
        </w:rPr>
      </w:pPr>
    </w:p>
    <w:p w:rsidR="001200E5" w:rsidRDefault="001200E5" w:rsidP="00E51C67">
      <w:pPr>
        <w:rPr>
          <w:rFonts w:cs="David"/>
          <w:rtl/>
        </w:rPr>
      </w:pPr>
    </w:p>
    <w:p w:rsidR="00574804" w:rsidRPr="001200E5" w:rsidRDefault="00574804" w:rsidP="00574804">
      <w:pPr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26</w:t>
      </w:r>
      <w:r w:rsidRPr="001200E5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בנובמבר: </w:t>
      </w:r>
      <w:r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אזרחות</w:t>
      </w:r>
      <w:r w:rsidR="00730241" w:rsidRPr="001200E5">
        <w:rPr>
          <w:rFonts w:asciiTheme="majorBidi" w:hAnsiTheme="majorBidi"/>
          <w:b/>
          <w:bCs/>
          <w:noProof w:val="0"/>
          <w:sz w:val="24"/>
          <w:szCs w:val="24"/>
          <w:rtl/>
        </w:rPr>
        <w:t>—</w:t>
      </w:r>
      <w:r w:rsidR="00730241"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ליברליזם קלאסי ומודרני</w:t>
      </w:r>
    </w:p>
    <w:p w:rsidR="00574804" w:rsidRPr="001200E5" w:rsidRDefault="00E51C67" w:rsidP="00574804">
      <w:pPr>
        <w:rPr>
          <w:rFonts w:asciiTheme="majorBidi" w:hAnsiTheme="majorBidi" w:cs="David"/>
          <w:noProof w:val="0"/>
        </w:rPr>
      </w:pPr>
      <w:r w:rsidRPr="001200E5">
        <w:rPr>
          <w:rFonts w:asciiTheme="majorBidi" w:hAnsiTheme="majorBidi" w:cs="David"/>
          <w:noProof w:val="0"/>
          <w:rtl/>
        </w:rPr>
        <w:t xml:space="preserve">ג'ון סטיוארט מיל, על החירות, תרגם אריה סימון, ירושלים: מאגנס, </w:t>
      </w:r>
      <w:proofErr w:type="spellStart"/>
      <w:r w:rsidRPr="001200E5">
        <w:rPr>
          <w:rFonts w:asciiTheme="majorBidi" w:hAnsiTheme="majorBidi" w:cs="David"/>
          <w:noProof w:val="0"/>
          <w:rtl/>
        </w:rPr>
        <w:t>תש"ם</w:t>
      </w:r>
      <w:proofErr w:type="spellEnd"/>
      <w:r w:rsidRPr="001200E5">
        <w:rPr>
          <w:rFonts w:asciiTheme="majorBidi" w:hAnsiTheme="majorBidi" w:cs="David"/>
          <w:noProof w:val="0"/>
          <w:rtl/>
        </w:rPr>
        <w:t>, עמ' 3-95.</w:t>
      </w:r>
    </w:p>
    <w:p w:rsidR="00E51C67" w:rsidRDefault="00E51C67" w:rsidP="00E51C67">
      <w:pPr>
        <w:bidi w:val="0"/>
        <w:rPr>
          <w:rFonts w:cs="David"/>
          <w:rtl/>
        </w:rPr>
      </w:pPr>
    </w:p>
    <w:p w:rsidR="00E51C67" w:rsidRPr="00B876D5" w:rsidRDefault="00E51C67" w:rsidP="00E51C67">
      <w:pPr>
        <w:bidi w:val="0"/>
        <w:rPr>
          <w:rFonts w:cs="David"/>
          <w:lang w:bidi="ar-SA"/>
        </w:rPr>
      </w:pPr>
      <w:r w:rsidRPr="00B876D5">
        <w:rPr>
          <w:rFonts w:cs="David"/>
          <w:lang w:bidi="ar-SA"/>
        </w:rPr>
        <w:t xml:space="preserve">Carole Pateman, </w:t>
      </w:r>
      <w:r w:rsidRPr="00B876D5">
        <w:rPr>
          <w:rFonts w:cs="David"/>
          <w:i/>
          <w:iCs/>
          <w:lang w:bidi="ar-SA"/>
        </w:rPr>
        <w:t>Participation and Democratic Theory</w:t>
      </w:r>
      <w:r w:rsidRPr="00B876D5">
        <w:rPr>
          <w:rFonts w:cs="David"/>
          <w:lang w:bidi="ar-SA"/>
        </w:rPr>
        <w:t xml:space="preserve">, Cambridge: Cambridge University Press, 1970, pp. 22-35, </w:t>
      </w:r>
      <w:r>
        <w:rPr>
          <w:rFonts w:cs="David" w:hint="cs"/>
          <w:rtl/>
        </w:rPr>
        <w:t>36</w:t>
      </w:r>
      <w:r w:rsidRPr="00B876D5">
        <w:rPr>
          <w:rFonts w:cs="David"/>
          <w:lang w:bidi="ar-SA"/>
        </w:rPr>
        <w:t>-44.</w:t>
      </w:r>
    </w:p>
    <w:p w:rsidR="00E51C67" w:rsidRDefault="00E51C67" w:rsidP="00E51C67">
      <w:pPr>
        <w:bidi w:val="0"/>
        <w:rPr>
          <w:rFonts w:cs="David"/>
          <w:rtl/>
        </w:rPr>
      </w:pPr>
    </w:p>
    <w:p w:rsidR="00E51C67" w:rsidRPr="00B876D5" w:rsidRDefault="00E51C67" w:rsidP="00E51C67">
      <w:pPr>
        <w:bidi w:val="0"/>
        <w:rPr>
          <w:rFonts w:cs="David"/>
          <w:rtl/>
          <w:lang w:bidi="ar-SA"/>
        </w:rPr>
      </w:pPr>
      <w:r w:rsidRPr="00B876D5">
        <w:rPr>
          <w:rFonts w:cs="David"/>
          <w:lang w:bidi="ar-SA"/>
        </w:rPr>
        <w:t>John Rawls, “Justice as Fairness in the Liberal Polity,” in Shafir, pp. 53-72.</w:t>
      </w:r>
    </w:p>
    <w:p w:rsidR="00574804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1200E5" w:rsidRPr="00574804" w:rsidRDefault="001200E5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Pr="001200E5" w:rsidRDefault="00574804" w:rsidP="001200E5">
      <w:pPr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10</w:t>
      </w:r>
      <w:r w:rsidRPr="001200E5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בדצמבר: </w:t>
      </w:r>
      <w:r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אזרחות</w:t>
      </w:r>
      <w:r w:rsidR="001200E5" w:rsidRPr="001200E5">
        <w:rPr>
          <w:rFonts w:asciiTheme="majorBidi" w:hAnsiTheme="majorBidi"/>
          <w:b/>
          <w:bCs/>
          <w:noProof w:val="0"/>
          <w:sz w:val="24"/>
          <w:szCs w:val="24"/>
          <w:rtl/>
        </w:rPr>
        <w:t>—</w:t>
      </w:r>
      <w:proofErr w:type="spellStart"/>
      <w:r w:rsidR="001200E5"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קומוניטריזם</w:t>
      </w:r>
      <w:proofErr w:type="spellEnd"/>
      <w:r w:rsidR="001200E5"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 xml:space="preserve">  ודמוקרטיה סוציאלית</w:t>
      </w:r>
    </w:p>
    <w:p w:rsidR="001200E5" w:rsidRDefault="00E51C67" w:rsidP="001200E5">
      <w:pPr>
        <w:bidi w:val="0"/>
        <w:rPr>
          <w:rFonts w:cs="David"/>
          <w:rtl/>
        </w:rPr>
      </w:pPr>
      <w:r w:rsidRPr="00E51C67">
        <w:rPr>
          <w:rFonts w:cs="David"/>
          <w:lang w:bidi="ar-SA"/>
        </w:rPr>
        <w:t>T.H. Marshall, “Citizenship and Social Class,” in Shafir, pp. 93-111.</w:t>
      </w:r>
    </w:p>
    <w:p w:rsidR="001200E5" w:rsidRDefault="001200E5" w:rsidP="001200E5">
      <w:pPr>
        <w:bidi w:val="0"/>
        <w:rPr>
          <w:rFonts w:cs="David"/>
          <w:rtl/>
        </w:rPr>
      </w:pPr>
    </w:p>
    <w:p w:rsidR="001200E5" w:rsidRDefault="001200E5" w:rsidP="001200E5">
      <w:pPr>
        <w:bidi w:val="0"/>
        <w:rPr>
          <w:rFonts w:cs="David"/>
          <w:rtl/>
        </w:rPr>
      </w:pPr>
      <w:r w:rsidRPr="00B876D5">
        <w:rPr>
          <w:rFonts w:cs="David"/>
          <w:lang w:bidi="ar-SA"/>
        </w:rPr>
        <w:t>Adrian Odlfied, “Citizenship and Community: Civic Republicanism and the Modern World,” in Shafir, pp. 75-89.</w:t>
      </w:r>
    </w:p>
    <w:p w:rsidR="001200E5" w:rsidRDefault="001200E5" w:rsidP="001200E5">
      <w:pPr>
        <w:bidi w:val="0"/>
        <w:rPr>
          <w:rFonts w:cs="David"/>
          <w:rtl/>
        </w:rPr>
      </w:pPr>
    </w:p>
    <w:p w:rsidR="00574804" w:rsidRDefault="00574804" w:rsidP="001200E5">
      <w:pPr>
        <w:bidi w:val="0"/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1200E5" w:rsidRDefault="001200E5" w:rsidP="001200E5">
      <w:pPr>
        <w:bidi w:val="0"/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Pr="001200E5" w:rsidRDefault="00574804" w:rsidP="00574804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24</w:t>
      </w:r>
      <w:r w:rsidRPr="001200E5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בדצמבר: </w:t>
      </w:r>
      <w:r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אזרחות</w:t>
      </w:r>
      <w:r w:rsidR="001200E5" w:rsidRPr="001200E5">
        <w:rPr>
          <w:rFonts w:asciiTheme="majorBidi" w:hAnsiTheme="majorBidi"/>
          <w:b/>
          <w:bCs/>
          <w:noProof w:val="0"/>
          <w:sz w:val="24"/>
          <w:szCs w:val="24"/>
          <w:rtl/>
        </w:rPr>
        <w:t>—</w:t>
      </w:r>
      <w:r w:rsidR="001200E5"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 xml:space="preserve">גישות </w:t>
      </w:r>
      <w:proofErr w:type="spellStart"/>
      <w:r w:rsidR="001200E5"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ביקורטית</w:t>
      </w:r>
      <w:proofErr w:type="spellEnd"/>
    </w:p>
    <w:p w:rsidR="001200E5" w:rsidRPr="00B876D5" w:rsidRDefault="001200E5" w:rsidP="001200E5">
      <w:pPr>
        <w:bidi w:val="0"/>
        <w:ind w:left="720" w:right="720" w:hanging="720"/>
        <w:rPr>
          <w:rFonts w:cs="David"/>
        </w:rPr>
      </w:pPr>
      <w:r w:rsidRPr="00B876D5">
        <w:rPr>
          <w:rFonts w:cs="David"/>
          <w:lang w:bidi="ar-SA"/>
        </w:rPr>
        <w:t xml:space="preserve">Kathleen B. Jones, “Citizenship in a Woman-Friendly </w:t>
      </w:r>
      <w:r>
        <w:rPr>
          <w:rFonts w:cs="David"/>
          <w:lang w:bidi="ar-SA"/>
        </w:rPr>
        <w:t>Polity,” in Shafir, pp. 221-247</w:t>
      </w:r>
    </w:p>
    <w:p w:rsidR="001200E5" w:rsidRDefault="001200E5" w:rsidP="001200E5">
      <w:pPr>
        <w:bidi w:val="0"/>
        <w:rPr>
          <w:rFonts w:cs="David"/>
          <w:rtl/>
        </w:rPr>
      </w:pPr>
      <w:r w:rsidRPr="001200E5">
        <w:rPr>
          <w:rFonts w:cs="David"/>
          <w:lang w:bidi="ar-SA"/>
        </w:rPr>
        <w:t>Will Kymlicka, “Multicultural Citizenship,” in Shafir, pp. 167-188.</w:t>
      </w:r>
    </w:p>
    <w:p w:rsidR="001200E5" w:rsidRDefault="001200E5" w:rsidP="001200E5">
      <w:pPr>
        <w:bidi w:val="0"/>
        <w:rPr>
          <w:rFonts w:cs="David"/>
          <w:rtl/>
        </w:rPr>
      </w:pPr>
    </w:p>
    <w:p w:rsidR="001200E5" w:rsidRPr="001200E5" w:rsidRDefault="001200E5" w:rsidP="001200E5">
      <w:pPr>
        <w:bidi w:val="0"/>
        <w:rPr>
          <w:rFonts w:cs="David"/>
          <w:rtl/>
        </w:rPr>
      </w:pPr>
      <w:r w:rsidRPr="00B876D5">
        <w:rPr>
          <w:rFonts w:cs="David"/>
          <w:lang w:bidi="ar-SA"/>
        </w:rPr>
        <w:t xml:space="preserve">Michael J. Sandel, “The Procedural Republic and the Unencumbered Self,” </w:t>
      </w:r>
      <w:r>
        <w:rPr>
          <w:rFonts w:cs="David" w:hint="cs"/>
          <w:rtl/>
        </w:rPr>
        <w:t xml:space="preserve"> </w:t>
      </w:r>
      <w:r w:rsidRPr="00B876D5">
        <w:rPr>
          <w:rFonts w:cs="David"/>
          <w:i/>
          <w:iCs/>
          <w:lang w:bidi="ar-SA"/>
        </w:rPr>
        <w:t>Political Theory</w:t>
      </w:r>
      <w:r w:rsidRPr="00B876D5">
        <w:rPr>
          <w:rFonts w:cs="David"/>
          <w:lang w:bidi="ar-SA"/>
        </w:rPr>
        <w:t>, Vol. 12 (1984), pp. 81-96.</w:t>
      </w:r>
    </w:p>
    <w:p w:rsidR="00574804" w:rsidRPr="001200E5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Pr="001200E5" w:rsidRDefault="00574804" w:rsidP="001200E5">
      <w:pPr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7</w:t>
      </w:r>
      <w:r w:rsidRPr="001200E5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בינואר: </w:t>
      </w:r>
      <w:r w:rsidRP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ביטחון</w:t>
      </w:r>
      <w:r w:rsidR="001200E5">
        <w:rPr>
          <w:rFonts w:asciiTheme="majorBidi" w:hAnsiTheme="majorBidi"/>
          <w:b/>
          <w:bCs/>
          <w:noProof w:val="0"/>
          <w:sz w:val="24"/>
          <w:szCs w:val="24"/>
          <w:rtl/>
        </w:rPr>
        <w:t>—</w:t>
      </w:r>
      <w:r w:rsidR="001200E5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הבית ספר הניו-ריאליסטי</w:t>
      </w:r>
    </w:p>
    <w:p w:rsidR="001200E5" w:rsidRPr="00D37846" w:rsidRDefault="001200E5" w:rsidP="001200E5">
      <w:pPr>
        <w:autoSpaceDE w:val="0"/>
        <w:autoSpaceDN w:val="0"/>
        <w:bidi w:val="0"/>
        <w:adjustRightInd w:val="0"/>
        <w:rPr>
          <w:rFonts w:asciiTheme="majorBidi" w:hAnsiTheme="majorBidi" w:cstheme="majorBidi"/>
          <w:noProof w:val="0"/>
          <w:rtl/>
        </w:rPr>
      </w:pPr>
      <w:r w:rsidRPr="001200E5">
        <w:rPr>
          <w:rFonts w:asciiTheme="majorBidi" w:eastAsia="Calibri" w:hAnsiTheme="majorBidi" w:cstheme="majorBidi"/>
          <w:noProof w:val="0"/>
          <w:lang w:eastAsia="en-US" w:bidi="ar-SA"/>
        </w:rPr>
        <w:t>Kenneth N. Waltz,</w:t>
      </w:r>
      <w:r w:rsidRPr="001200E5">
        <w:rPr>
          <w:rFonts w:asciiTheme="majorBidi" w:eastAsia="Calibri" w:hAnsiTheme="majorBidi" w:cstheme="majorBidi"/>
          <w:i/>
          <w:iCs/>
          <w:noProof w:val="0"/>
          <w:lang w:eastAsia="en-US" w:bidi="ar-SA"/>
        </w:rPr>
        <w:t xml:space="preserve"> </w:t>
      </w:r>
      <w:r w:rsidRPr="001200E5">
        <w:rPr>
          <w:rFonts w:asciiTheme="majorBidi" w:eastAsia="Calibri" w:hAnsiTheme="majorBidi" w:cstheme="majorBidi"/>
          <w:noProof w:val="0"/>
          <w:lang w:eastAsia="en-US" w:bidi="ar-SA"/>
        </w:rPr>
        <w:t xml:space="preserve">Structural Realism after the Cold War, </w:t>
      </w:r>
      <w:r w:rsidRPr="001200E5">
        <w:rPr>
          <w:rFonts w:asciiTheme="majorBidi" w:eastAsia="Calibri" w:hAnsiTheme="majorBidi" w:cstheme="majorBidi"/>
          <w:i/>
          <w:iCs/>
          <w:noProof w:val="0"/>
          <w:lang w:eastAsia="en-US" w:bidi="ar-SA"/>
        </w:rPr>
        <w:t xml:space="preserve">International </w:t>
      </w:r>
      <w:r w:rsidRPr="00D37846">
        <w:rPr>
          <w:rFonts w:asciiTheme="majorBidi" w:eastAsia="Calibri" w:hAnsiTheme="majorBidi" w:cstheme="majorBidi"/>
          <w:i/>
          <w:iCs/>
          <w:noProof w:val="0"/>
          <w:lang w:eastAsia="en-US" w:bidi="ar-SA"/>
        </w:rPr>
        <w:t xml:space="preserve">Security, </w:t>
      </w:r>
      <w:proofErr w:type="gramStart"/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>Summer</w:t>
      </w:r>
      <w:proofErr w:type="gramEnd"/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 xml:space="preserve"> 2000, Vol. 25, Issue 1</w:t>
      </w:r>
      <w:r w:rsidR="00D37846" w:rsidRPr="00D37846">
        <w:rPr>
          <w:rFonts w:asciiTheme="majorBidi" w:eastAsia="Calibri" w:hAnsiTheme="majorBidi" w:cstheme="majorBidi"/>
          <w:noProof w:val="0"/>
          <w:lang w:eastAsia="en-US" w:bidi="ar-SA"/>
        </w:rPr>
        <w:t>: 5-41.</w:t>
      </w:r>
    </w:p>
    <w:p w:rsidR="001200E5" w:rsidRDefault="001200E5" w:rsidP="001200E5">
      <w:pPr>
        <w:bidi w:val="0"/>
        <w:rPr>
          <w:rFonts w:asciiTheme="majorBidi" w:hAnsiTheme="majorBidi" w:cstheme="majorBidi"/>
          <w:rtl/>
        </w:rPr>
      </w:pPr>
    </w:p>
    <w:p w:rsidR="001200E5" w:rsidRPr="001200E5" w:rsidRDefault="001200E5" w:rsidP="001200E5">
      <w:pPr>
        <w:bidi w:val="0"/>
        <w:rPr>
          <w:rFonts w:asciiTheme="majorBidi" w:hAnsiTheme="majorBidi" w:cstheme="majorBidi"/>
          <w:rtl/>
        </w:rPr>
      </w:pPr>
      <w:r w:rsidRPr="001200E5">
        <w:rPr>
          <w:rFonts w:asciiTheme="majorBidi" w:hAnsiTheme="majorBidi" w:cstheme="majorBidi"/>
        </w:rPr>
        <w:t xml:space="preserve">Stephen M. Walt, Taming American Power,  </w:t>
      </w:r>
      <w:r w:rsidRPr="001200E5">
        <w:rPr>
          <w:rFonts w:asciiTheme="majorBidi" w:hAnsiTheme="majorBidi" w:cstheme="majorBidi"/>
          <w:i/>
          <w:iCs/>
        </w:rPr>
        <w:t>Foreign Affairs</w:t>
      </w:r>
      <w:r w:rsidRPr="001200E5">
        <w:rPr>
          <w:rFonts w:asciiTheme="majorBidi" w:hAnsiTheme="majorBidi" w:cstheme="majorBidi"/>
        </w:rPr>
        <w:t>, Vol. 84, No. 5 (Sep. - Oct., 2005), pp. 105-120</w:t>
      </w:r>
    </w:p>
    <w:p w:rsidR="00574804" w:rsidRPr="00574804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Pr="00574804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Pr="00D37846" w:rsidRDefault="00574804" w:rsidP="00574804">
      <w:pPr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</w:pPr>
      <w:r w:rsidRPr="00D37846">
        <w:rPr>
          <w:rFonts w:asciiTheme="majorBidi" w:hAnsiTheme="majorBidi"/>
          <w:b/>
          <w:bCs/>
          <w:noProof w:val="0"/>
          <w:sz w:val="24"/>
          <w:szCs w:val="24"/>
          <w:u w:val="single"/>
          <w:rtl/>
        </w:rPr>
        <w:t>סמסטר ב</w:t>
      </w:r>
    </w:p>
    <w:p w:rsidR="00574804" w:rsidRPr="00574804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Pr="00D37846" w:rsidRDefault="00574804" w:rsidP="00D37846">
      <w:pPr>
        <w:tabs>
          <w:tab w:val="center" w:pos="4680"/>
        </w:tabs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D37846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11</w:t>
      </w:r>
      <w:r w:rsidRPr="00D37846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במרץ: </w:t>
      </w:r>
      <w:r w:rsidRPr="00D37846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ביטחון</w:t>
      </w:r>
      <w:r w:rsidR="00D37846" w:rsidRPr="00D37846">
        <w:rPr>
          <w:rFonts w:asciiTheme="majorBidi" w:hAnsiTheme="majorBidi"/>
          <w:b/>
          <w:bCs/>
          <w:noProof w:val="0"/>
          <w:sz w:val="24"/>
          <w:szCs w:val="24"/>
        </w:rPr>
        <w:t>—</w:t>
      </w:r>
      <w:r w:rsidR="00D37846" w:rsidRPr="00D37846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 xml:space="preserve">ניו-ליברל </w:t>
      </w:r>
      <w:proofErr w:type="spellStart"/>
      <w:r w:rsidR="00D37846" w:rsidRPr="00D37846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אינסטיטושיונאליזם</w:t>
      </w:r>
      <w:proofErr w:type="spellEnd"/>
      <w:r w:rsidR="00D37846" w:rsidRPr="00D37846">
        <w:rPr>
          <w:rFonts w:asciiTheme="majorBidi" w:hAnsiTheme="majorBidi"/>
          <w:b/>
          <w:bCs/>
          <w:noProof w:val="0"/>
          <w:sz w:val="24"/>
          <w:szCs w:val="24"/>
          <w:rtl/>
        </w:rPr>
        <w:tab/>
      </w:r>
    </w:p>
    <w:p w:rsidR="00D37846" w:rsidRPr="00D37846" w:rsidRDefault="00D37846" w:rsidP="00D37846">
      <w:p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noProof w:val="0"/>
          <w:lang w:eastAsia="en-US" w:bidi="ar-SA"/>
        </w:rPr>
      </w:pPr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 xml:space="preserve">Robert Axelrod; Robert O. </w:t>
      </w:r>
      <w:proofErr w:type="spellStart"/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>Keohane</w:t>
      </w:r>
      <w:proofErr w:type="spellEnd"/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 xml:space="preserve">, Achieving Cooperation under Anarchy: Strategies and Institutions, </w:t>
      </w:r>
      <w:r w:rsidRPr="00D37846">
        <w:rPr>
          <w:rFonts w:asciiTheme="majorBidi" w:eastAsia="Calibri" w:hAnsiTheme="majorBidi" w:cstheme="majorBidi"/>
          <w:i/>
          <w:iCs/>
          <w:noProof w:val="0"/>
          <w:lang w:eastAsia="en-US" w:bidi="ar-SA"/>
        </w:rPr>
        <w:t>World Politics</w:t>
      </w:r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 xml:space="preserve">, Vol. 38, No. 1. </w:t>
      </w:r>
      <w:proofErr w:type="gramStart"/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>(Oct., 1985), pp. 226-254.</w:t>
      </w:r>
      <w:proofErr w:type="gramEnd"/>
    </w:p>
    <w:p w:rsidR="00D37846" w:rsidRPr="00D37846" w:rsidRDefault="00D37846" w:rsidP="00D37846">
      <w:p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noProof w:val="0"/>
          <w:rtl/>
          <w:lang w:eastAsia="en-US"/>
        </w:rPr>
      </w:pPr>
    </w:p>
    <w:p w:rsidR="00D37846" w:rsidRPr="001200E5" w:rsidRDefault="00D37846" w:rsidP="00D37846">
      <w:pPr>
        <w:bidi w:val="0"/>
        <w:rPr>
          <w:rFonts w:asciiTheme="majorBidi" w:hAnsiTheme="majorBidi" w:cstheme="majorBidi"/>
          <w:noProof w:val="0"/>
          <w:rtl/>
        </w:rPr>
      </w:pPr>
      <w:r w:rsidRPr="001200E5">
        <w:rPr>
          <w:rFonts w:asciiTheme="majorBidi" w:hAnsiTheme="majorBidi" w:cstheme="majorBidi"/>
        </w:rPr>
        <w:t xml:space="preserve">John J. Mearsheimer, The False Promise of International Institutions, </w:t>
      </w:r>
      <w:r w:rsidRPr="001200E5">
        <w:rPr>
          <w:rFonts w:asciiTheme="majorBidi" w:hAnsiTheme="majorBidi" w:cstheme="majorBidi"/>
          <w:i/>
          <w:iCs/>
        </w:rPr>
        <w:t>International Security</w:t>
      </w:r>
      <w:r w:rsidRPr="001200E5">
        <w:rPr>
          <w:rFonts w:asciiTheme="majorBidi" w:hAnsiTheme="majorBidi" w:cstheme="majorBidi"/>
        </w:rPr>
        <w:t>, Vol. 19, No. 3 (Winter, 1994-1995), pp. 5-49</w:t>
      </w:r>
    </w:p>
    <w:p w:rsidR="00D37846" w:rsidRDefault="00D37846" w:rsidP="00D37846">
      <w:p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noProof w:val="0"/>
          <w:lang w:eastAsia="en-US" w:bidi="ar-SA"/>
        </w:rPr>
      </w:pPr>
    </w:p>
    <w:p w:rsidR="00D37846" w:rsidRDefault="00D37846" w:rsidP="00D37846">
      <w:p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noProof w:val="0"/>
          <w:lang w:eastAsia="en-US" w:bidi="ar-SA"/>
        </w:rPr>
      </w:pPr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 xml:space="preserve">Robert O. </w:t>
      </w:r>
      <w:proofErr w:type="spellStart"/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>Keohane</w:t>
      </w:r>
      <w:proofErr w:type="spellEnd"/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 xml:space="preserve">, Lisa L. Martin, The Promise of </w:t>
      </w:r>
      <w:proofErr w:type="spellStart"/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>Institutionalist</w:t>
      </w:r>
      <w:proofErr w:type="spellEnd"/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 xml:space="preserve"> Theory, </w:t>
      </w:r>
      <w:r w:rsidRPr="00D37846">
        <w:rPr>
          <w:rFonts w:asciiTheme="majorBidi" w:eastAsia="Calibri" w:hAnsiTheme="majorBidi" w:cstheme="majorBidi"/>
          <w:i/>
          <w:iCs/>
          <w:noProof w:val="0"/>
          <w:lang w:eastAsia="en-US" w:bidi="ar-SA"/>
        </w:rPr>
        <w:t>International Security</w:t>
      </w:r>
      <w:r w:rsidRPr="00D37846">
        <w:rPr>
          <w:rFonts w:asciiTheme="majorBidi" w:eastAsia="Calibri" w:hAnsiTheme="majorBidi" w:cstheme="majorBidi"/>
          <w:noProof w:val="0"/>
          <w:lang w:eastAsia="en-US" w:bidi="ar-SA"/>
        </w:rPr>
        <w:t>, Volume 20, Number 1, Summer 1995, pp. 39-51</w:t>
      </w:r>
      <w:r>
        <w:rPr>
          <w:rFonts w:asciiTheme="majorBidi" w:eastAsia="Calibri" w:hAnsiTheme="majorBidi" w:cstheme="majorBidi"/>
          <w:noProof w:val="0"/>
          <w:lang w:eastAsia="en-US" w:bidi="ar-SA"/>
        </w:rPr>
        <w:t>.</w:t>
      </w:r>
    </w:p>
    <w:p w:rsidR="00574804" w:rsidRPr="00D37846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D37846" w:rsidRDefault="00574804" w:rsidP="00D37846">
      <w:pPr>
        <w:rPr>
          <w:rFonts w:asciiTheme="majorBidi" w:hAnsiTheme="majorBidi"/>
          <w:b/>
          <w:bCs/>
          <w:noProof w:val="0"/>
          <w:sz w:val="24"/>
          <w:szCs w:val="24"/>
          <w:rtl/>
        </w:rPr>
      </w:pPr>
      <w:r w:rsidRPr="00D37846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25</w:t>
      </w:r>
      <w:r w:rsidRPr="00D37846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במרץ: </w:t>
      </w:r>
      <w:r w:rsidRPr="00D37846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ביטחון</w:t>
      </w:r>
      <w:r w:rsidR="00D37846">
        <w:rPr>
          <w:rFonts w:asciiTheme="majorBidi" w:hAnsiTheme="majorBidi"/>
          <w:b/>
          <w:bCs/>
          <w:noProof w:val="0"/>
          <w:sz w:val="24"/>
          <w:szCs w:val="24"/>
        </w:rPr>
        <w:t>—</w:t>
      </w:r>
      <w:proofErr w:type="spellStart"/>
      <w:r w:rsidR="00D37846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הקונסטרוקטיביסטי</w:t>
      </w:r>
      <w:r w:rsidR="00D37846">
        <w:rPr>
          <w:rFonts w:asciiTheme="majorBidi" w:hAnsiTheme="majorBidi" w:hint="eastAsia"/>
          <w:b/>
          <w:bCs/>
          <w:noProof w:val="0"/>
          <w:sz w:val="24"/>
          <w:szCs w:val="24"/>
          <w:rtl/>
        </w:rPr>
        <w:t>ם</w:t>
      </w:r>
      <w:proofErr w:type="spellEnd"/>
      <w:r w:rsidR="00D37846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 xml:space="preserve"> והפמיניזם</w:t>
      </w:r>
    </w:p>
    <w:p w:rsidR="007776C2" w:rsidRDefault="007776C2" w:rsidP="007776C2">
      <w:pPr>
        <w:bidi w:val="0"/>
        <w:rPr>
          <w:rFonts w:asciiTheme="majorBidi" w:hAnsiTheme="majorBidi"/>
          <w:b/>
          <w:bCs/>
          <w:noProof w:val="0"/>
          <w:sz w:val="24"/>
          <w:szCs w:val="24"/>
        </w:rPr>
      </w:pPr>
    </w:p>
    <w:p w:rsidR="007776C2" w:rsidRDefault="007776C2" w:rsidP="007776C2">
      <w:pPr>
        <w:bidi w:val="0"/>
      </w:pPr>
      <w:r w:rsidRPr="007776C2">
        <w:rPr>
          <w:rFonts w:asciiTheme="majorBidi" w:hAnsiTheme="majorBidi"/>
          <w:noProof w:val="0"/>
        </w:rPr>
        <w:t xml:space="preserve">Peter J. </w:t>
      </w:r>
      <w:proofErr w:type="spellStart"/>
      <w:r w:rsidRPr="007776C2">
        <w:rPr>
          <w:rFonts w:asciiTheme="majorBidi" w:hAnsiTheme="majorBidi"/>
          <w:noProof w:val="0"/>
        </w:rPr>
        <w:t>Katzenstein</w:t>
      </w:r>
      <w:proofErr w:type="spellEnd"/>
      <w:r w:rsidRPr="007776C2">
        <w:rPr>
          <w:rFonts w:asciiTheme="majorBidi" w:hAnsiTheme="majorBidi"/>
          <w:noProof w:val="0"/>
        </w:rPr>
        <w:t>, Introduction: Alternative Perspectives on National Security, in</w:t>
      </w:r>
      <w:r w:rsidRPr="007776C2">
        <w:t xml:space="preserve"> </w:t>
      </w:r>
      <w:r w:rsidRPr="007776C2">
        <w:rPr>
          <w:rFonts w:asciiTheme="majorBidi" w:hAnsiTheme="majorBidi"/>
          <w:i/>
          <w:iCs/>
          <w:noProof w:val="0"/>
        </w:rPr>
        <w:t>The Culture of National Security: Norms and Identity in World Politics</w:t>
      </w:r>
      <w:r w:rsidRPr="007776C2">
        <w:rPr>
          <w:rFonts w:asciiTheme="majorBidi" w:hAnsiTheme="majorBidi"/>
          <w:noProof w:val="0"/>
        </w:rPr>
        <w:t>, 1996.</w:t>
      </w:r>
      <w:r w:rsidRPr="007776C2">
        <w:t xml:space="preserve"> </w:t>
      </w:r>
    </w:p>
    <w:p w:rsidR="007776C2" w:rsidRDefault="007776C2" w:rsidP="007776C2">
      <w:pPr>
        <w:bidi w:val="0"/>
        <w:rPr>
          <w:rFonts w:asciiTheme="majorBidi" w:hAnsiTheme="majorBidi"/>
          <w:noProof w:val="0"/>
        </w:rPr>
      </w:pPr>
    </w:p>
    <w:p w:rsidR="007776C2" w:rsidRPr="007776C2" w:rsidRDefault="007776C2" w:rsidP="007776C2">
      <w:pPr>
        <w:bidi w:val="0"/>
        <w:rPr>
          <w:rFonts w:asciiTheme="majorBidi" w:hAnsiTheme="majorBidi"/>
          <w:noProof w:val="0"/>
        </w:rPr>
      </w:pPr>
      <w:r w:rsidRPr="007776C2">
        <w:rPr>
          <w:rFonts w:asciiTheme="majorBidi" w:hAnsiTheme="majorBidi"/>
          <w:noProof w:val="0"/>
        </w:rPr>
        <w:t>Christine</w:t>
      </w:r>
      <w:r>
        <w:rPr>
          <w:rFonts w:asciiTheme="majorBidi" w:hAnsiTheme="majorBidi"/>
          <w:noProof w:val="0"/>
        </w:rPr>
        <w:t xml:space="preserve"> </w:t>
      </w:r>
      <w:r w:rsidRPr="007776C2">
        <w:rPr>
          <w:rFonts w:asciiTheme="majorBidi" w:hAnsiTheme="majorBidi"/>
          <w:noProof w:val="0"/>
        </w:rPr>
        <w:t>Sylvester,</w:t>
      </w:r>
      <w:r>
        <w:rPr>
          <w:rFonts w:asciiTheme="majorBidi" w:hAnsiTheme="majorBidi"/>
          <w:noProof w:val="0"/>
        </w:rPr>
        <w:t xml:space="preserve"> </w:t>
      </w:r>
      <w:proofErr w:type="gramStart"/>
      <w:r w:rsidRPr="007776C2">
        <w:rPr>
          <w:rFonts w:asciiTheme="majorBidi" w:hAnsiTheme="majorBidi"/>
          <w:noProof w:val="0"/>
        </w:rPr>
        <w:t>The</w:t>
      </w:r>
      <w:proofErr w:type="gramEnd"/>
      <w:r w:rsidRPr="007776C2">
        <w:rPr>
          <w:rFonts w:asciiTheme="majorBidi" w:hAnsiTheme="majorBidi"/>
          <w:noProof w:val="0"/>
        </w:rPr>
        <w:t xml:space="preserve"> Art of War/The War Question in (Feminist) IR’, </w:t>
      </w:r>
      <w:r w:rsidRPr="007776C2">
        <w:rPr>
          <w:rFonts w:asciiTheme="majorBidi" w:hAnsiTheme="majorBidi"/>
          <w:i/>
          <w:iCs/>
          <w:noProof w:val="0"/>
        </w:rPr>
        <w:t>Millennium</w:t>
      </w:r>
      <w:r w:rsidRPr="007776C2">
        <w:rPr>
          <w:rFonts w:asciiTheme="majorBidi" w:hAnsiTheme="majorBidi"/>
          <w:noProof w:val="0"/>
        </w:rPr>
        <w:t>, 33:3</w:t>
      </w:r>
      <w:r w:rsidRPr="007776C2">
        <w:rPr>
          <w:rFonts w:asciiTheme="majorBidi" w:hAnsiTheme="majorBidi"/>
          <w:noProof w:val="0"/>
          <w:rtl/>
        </w:rPr>
        <w:t>,</w:t>
      </w:r>
      <w:r>
        <w:rPr>
          <w:rFonts w:asciiTheme="majorBidi" w:hAnsiTheme="majorBidi"/>
          <w:noProof w:val="0"/>
        </w:rPr>
        <w:t xml:space="preserve"> </w:t>
      </w:r>
      <w:r w:rsidRPr="007776C2">
        <w:rPr>
          <w:rFonts w:asciiTheme="majorBidi" w:hAnsiTheme="majorBidi"/>
          <w:noProof w:val="0"/>
        </w:rPr>
        <w:t>855–78.</w:t>
      </w:r>
    </w:p>
    <w:p w:rsidR="007776C2" w:rsidRDefault="007776C2" w:rsidP="007776C2">
      <w:pPr>
        <w:bidi w:val="0"/>
        <w:rPr>
          <w:rFonts w:asciiTheme="majorBidi" w:hAnsiTheme="majorBidi"/>
          <w:b/>
          <w:bCs/>
          <w:noProof w:val="0"/>
          <w:sz w:val="24"/>
          <w:szCs w:val="24"/>
          <w:rtl/>
        </w:rPr>
      </w:pPr>
    </w:p>
    <w:p w:rsidR="007776C2" w:rsidRPr="007776C2" w:rsidRDefault="007776C2" w:rsidP="007776C2">
      <w:pPr>
        <w:bidi w:val="0"/>
        <w:rPr>
          <w:rFonts w:asciiTheme="majorBidi" w:hAnsiTheme="majorBidi"/>
          <w:b/>
          <w:bCs/>
          <w:noProof w:val="0"/>
          <w:sz w:val="24"/>
          <w:szCs w:val="24"/>
        </w:rPr>
      </w:pPr>
    </w:p>
    <w:p w:rsidR="00D37846" w:rsidRDefault="00D37846" w:rsidP="00D37846">
      <w:pPr>
        <w:rPr>
          <w:rFonts w:asciiTheme="majorBidi" w:hAnsiTheme="majorBidi"/>
          <w:b/>
          <w:bCs/>
          <w:noProof w:val="0"/>
          <w:sz w:val="24"/>
          <w:szCs w:val="24"/>
          <w:rtl/>
        </w:rPr>
      </w:pPr>
    </w:p>
    <w:p w:rsidR="00D37846" w:rsidRDefault="00574804" w:rsidP="00D37846">
      <w:pPr>
        <w:rPr>
          <w:rFonts w:asciiTheme="majorBidi" w:hAnsiTheme="majorBidi"/>
          <w:b/>
          <w:bCs/>
          <w:noProof w:val="0"/>
          <w:sz w:val="24"/>
          <w:szCs w:val="24"/>
          <w:rtl/>
        </w:rPr>
      </w:pPr>
      <w:r w:rsidRPr="00D37846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8</w:t>
      </w:r>
      <w:r w:rsidRPr="00D37846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באפריל: </w:t>
      </w:r>
      <w:r w:rsidRPr="00D37846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ביטחון</w:t>
      </w:r>
      <w:r w:rsidR="00D37846" w:rsidRPr="00D37846">
        <w:rPr>
          <w:rFonts w:asciiTheme="majorBidi" w:hAnsiTheme="majorBidi"/>
          <w:b/>
          <w:bCs/>
          <w:noProof w:val="0"/>
          <w:sz w:val="24"/>
          <w:szCs w:val="24"/>
          <w:rtl/>
        </w:rPr>
        <w:t>—</w:t>
      </w:r>
      <w:r w:rsidR="00D37846" w:rsidRPr="00D37846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בית  ספר קופנהאגן</w:t>
      </w:r>
    </w:p>
    <w:p w:rsidR="00D37846" w:rsidRDefault="00D37846" w:rsidP="002946FA">
      <w:pPr>
        <w:bidi w:val="0"/>
        <w:rPr>
          <w:rFonts w:asciiTheme="majorBidi" w:hAnsiTheme="majorBidi" w:cstheme="majorBidi"/>
          <w:noProof w:val="0"/>
        </w:rPr>
      </w:pPr>
      <w:r>
        <w:rPr>
          <w:rFonts w:asciiTheme="majorBidi" w:hAnsiTheme="majorBidi" w:cstheme="majorBidi"/>
          <w:noProof w:val="0"/>
        </w:rPr>
        <w:t xml:space="preserve">Ole </w:t>
      </w:r>
      <w:proofErr w:type="spellStart"/>
      <w:r>
        <w:rPr>
          <w:rFonts w:asciiTheme="majorBidi" w:hAnsiTheme="majorBidi" w:cstheme="majorBidi"/>
          <w:noProof w:val="0"/>
        </w:rPr>
        <w:t>Waever</w:t>
      </w:r>
      <w:proofErr w:type="spellEnd"/>
      <w:r>
        <w:rPr>
          <w:rFonts w:asciiTheme="majorBidi" w:hAnsiTheme="majorBidi" w:cstheme="majorBidi"/>
          <w:noProof w:val="0"/>
        </w:rPr>
        <w:t xml:space="preserve">, Securitization and </w:t>
      </w:r>
      <w:proofErr w:type="spellStart"/>
      <w:r>
        <w:rPr>
          <w:rFonts w:asciiTheme="majorBidi" w:hAnsiTheme="majorBidi" w:cstheme="majorBidi"/>
          <w:noProof w:val="0"/>
        </w:rPr>
        <w:t>desecuritization</w:t>
      </w:r>
      <w:proofErr w:type="spellEnd"/>
      <w:r>
        <w:rPr>
          <w:rFonts w:asciiTheme="majorBidi" w:hAnsiTheme="majorBidi" w:cstheme="majorBidi"/>
          <w:noProof w:val="0"/>
        </w:rPr>
        <w:t>, (</w:t>
      </w:r>
      <w:proofErr w:type="spellStart"/>
      <w:r w:rsidR="002946FA">
        <w:rPr>
          <w:rFonts w:asciiTheme="majorBidi" w:hAnsiTheme="majorBidi" w:cstheme="majorBidi"/>
          <w:noProof w:val="0"/>
        </w:rPr>
        <w:t>highlearn</w:t>
      </w:r>
      <w:proofErr w:type="spellEnd"/>
      <w:r>
        <w:rPr>
          <w:rFonts w:asciiTheme="majorBidi" w:hAnsiTheme="majorBidi" w:cstheme="majorBidi"/>
          <w:noProof w:val="0"/>
        </w:rPr>
        <w:t>).</w:t>
      </w:r>
    </w:p>
    <w:p w:rsidR="00E9032D" w:rsidRPr="00D37846" w:rsidRDefault="00E9032D" w:rsidP="00E9032D">
      <w:pPr>
        <w:bidi w:val="0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:rsidR="00D37846" w:rsidRPr="00D37846" w:rsidRDefault="00D37846" w:rsidP="00D37846">
      <w:pPr>
        <w:bidi w:val="0"/>
        <w:rPr>
          <w:rFonts w:asciiTheme="majorBidi" w:hAnsiTheme="majorBidi" w:cstheme="majorBidi"/>
          <w:noProof w:val="0"/>
        </w:rPr>
      </w:pPr>
      <w:r>
        <w:rPr>
          <w:rFonts w:asciiTheme="majorBidi" w:hAnsiTheme="majorBidi" w:cstheme="majorBidi"/>
          <w:noProof w:val="0"/>
        </w:rPr>
        <w:t xml:space="preserve">Barry </w:t>
      </w:r>
      <w:proofErr w:type="spellStart"/>
      <w:r>
        <w:rPr>
          <w:rFonts w:asciiTheme="majorBidi" w:hAnsiTheme="majorBidi" w:cstheme="majorBidi"/>
          <w:noProof w:val="0"/>
        </w:rPr>
        <w:t>Buzan</w:t>
      </w:r>
      <w:proofErr w:type="spellEnd"/>
      <w:r>
        <w:rPr>
          <w:rFonts w:asciiTheme="majorBidi" w:hAnsiTheme="majorBidi" w:cstheme="majorBidi"/>
          <w:noProof w:val="0"/>
        </w:rPr>
        <w:t xml:space="preserve"> Ole </w:t>
      </w:r>
      <w:proofErr w:type="spellStart"/>
      <w:r>
        <w:rPr>
          <w:rFonts w:asciiTheme="majorBidi" w:hAnsiTheme="majorBidi" w:cstheme="majorBidi"/>
          <w:noProof w:val="0"/>
        </w:rPr>
        <w:t>Waever</w:t>
      </w:r>
      <w:proofErr w:type="spellEnd"/>
      <w:r>
        <w:rPr>
          <w:rFonts w:asciiTheme="majorBidi" w:hAnsiTheme="majorBidi" w:cstheme="majorBidi"/>
          <w:noProof w:val="0"/>
        </w:rPr>
        <w:t xml:space="preserve"> and Jaap de Wilde, </w:t>
      </w:r>
      <w:r>
        <w:rPr>
          <w:rFonts w:asciiTheme="majorBidi" w:hAnsiTheme="majorBidi" w:cstheme="majorBidi"/>
          <w:i/>
          <w:iCs/>
          <w:noProof w:val="0"/>
        </w:rPr>
        <w:t xml:space="preserve">Security: A New Framework for Analysis, Lynne </w:t>
      </w:r>
      <w:proofErr w:type="spellStart"/>
      <w:r>
        <w:rPr>
          <w:rFonts w:asciiTheme="majorBidi" w:hAnsiTheme="majorBidi" w:cstheme="majorBidi"/>
          <w:i/>
          <w:iCs/>
          <w:noProof w:val="0"/>
        </w:rPr>
        <w:t>Riener</w:t>
      </w:r>
      <w:proofErr w:type="spellEnd"/>
      <w:r>
        <w:rPr>
          <w:rFonts w:asciiTheme="majorBidi" w:hAnsiTheme="majorBidi" w:cstheme="majorBidi"/>
          <w:i/>
          <w:iCs/>
          <w:noProof w:val="0"/>
        </w:rPr>
        <w:t xml:space="preserve"> 1998:</w:t>
      </w:r>
      <w:r>
        <w:rPr>
          <w:rFonts w:asciiTheme="majorBidi" w:hAnsiTheme="majorBidi" w:cstheme="majorBidi"/>
          <w:noProof w:val="0"/>
        </w:rPr>
        <w:t>1-47</w:t>
      </w:r>
    </w:p>
    <w:p w:rsidR="00574804" w:rsidRPr="00574804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Pr="00574804" w:rsidRDefault="00574804" w:rsidP="00574804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74804" w:rsidRDefault="00574804" w:rsidP="00574804">
      <w:pPr>
        <w:rPr>
          <w:rFonts w:asciiTheme="majorBidi" w:hAnsiTheme="majorBidi"/>
          <w:b/>
          <w:bCs/>
          <w:noProof w:val="0"/>
          <w:sz w:val="24"/>
          <w:szCs w:val="24"/>
          <w:rtl/>
        </w:rPr>
      </w:pPr>
      <w:r w:rsidRPr="002946FA">
        <w:rPr>
          <w:rFonts w:asciiTheme="majorBidi" w:hAnsiTheme="majorBidi"/>
          <w:b/>
          <w:bCs/>
          <w:noProof w:val="0"/>
          <w:sz w:val="24"/>
          <w:szCs w:val="24"/>
          <w:rtl/>
        </w:rPr>
        <w:t>2</w:t>
      </w:r>
      <w:r w:rsidRPr="002946FA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9</w:t>
      </w:r>
      <w:r w:rsidRPr="002946FA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באפריל: </w:t>
      </w:r>
      <w:r w:rsidRPr="002946FA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זכויות אדם</w:t>
      </w:r>
      <w:r w:rsidR="002946FA">
        <w:rPr>
          <w:rFonts w:asciiTheme="majorBidi" w:hAnsiTheme="majorBidi"/>
          <w:b/>
          <w:bCs/>
          <w:noProof w:val="0"/>
          <w:sz w:val="24"/>
          <w:szCs w:val="24"/>
          <w:rtl/>
        </w:rPr>
        <w:t>—</w:t>
      </w:r>
      <w:r w:rsidR="002946FA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הגישה הליברלית</w:t>
      </w:r>
    </w:p>
    <w:p w:rsidR="002946FA" w:rsidRDefault="002946FA" w:rsidP="002946FA">
      <w:pPr>
        <w:bidi w:val="0"/>
        <w:rPr>
          <w:rFonts w:asciiTheme="majorBidi" w:hAnsiTheme="majorBidi" w:cstheme="majorBidi"/>
          <w:noProof w:val="0"/>
        </w:rPr>
      </w:pPr>
    </w:p>
    <w:p w:rsidR="002946FA" w:rsidRDefault="002946FA" w:rsidP="002946FA">
      <w:pPr>
        <w:bidi w:val="0"/>
        <w:rPr>
          <w:rFonts w:asciiTheme="majorBidi" w:hAnsiTheme="majorBidi" w:cstheme="majorBidi"/>
          <w:noProof w:val="0"/>
        </w:rPr>
      </w:pPr>
      <w:r>
        <w:rPr>
          <w:rFonts w:asciiTheme="majorBidi" w:hAnsiTheme="majorBidi" w:cstheme="majorBidi"/>
          <w:noProof w:val="0"/>
        </w:rPr>
        <w:t xml:space="preserve">Jack Donnelly, </w:t>
      </w:r>
      <w:r w:rsidRPr="002946FA">
        <w:rPr>
          <w:rFonts w:asciiTheme="majorBidi" w:hAnsiTheme="majorBidi" w:cstheme="majorBidi"/>
          <w:noProof w:val="0"/>
        </w:rPr>
        <w:t>Theories of Human Rights</w:t>
      </w:r>
      <w:r>
        <w:rPr>
          <w:rFonts w:asciiTheme="majorBidi" w:hAnsiTheme="majorBidi" w:cstheme="majorBidi"/>
          <w:i/>
          <w:iCs/>
          <w:noProof w:val="0"/>
        </w:rPr>
        <w:t>,</w:t>
      </w:r>
      <w:r w:rsidRPr="002946FA">
        <w:rPr>
          <w:rFonts w:asciiTheme="majorBidi" w:hAnsiTheme="majorBidi" w:cstheme="majorBidi"/>
          <w:noProof w:val="0"/>
        </w:rPr>
        <w:t xml:space="preserve"> </w:t>
      </w:r>
      <w:r>
        <w:rPr>
          <w:rFonts w:asciiTheme="majorBidi" w:hAnsiTheme="majorBidi" w:cstheme="majorBidi"/>
          <w:noProof w:val="0"/>
        </w:rPr>
        <w:t>(</w:t>
      </w:r>
      <w:proofErr w:type="spellStart"/>
      <w:r>
        <w:rPr>
          <w:rFonts w:asciiTheme="majorBidi" w:hAnsiTheme="majorBidi" w:cstheme="majorBidi"/>
          <w:noProof w:val="0"/>
        </w:rPr>
        <w:t>highlearn</w:t>
      </w:r>
      <w:proofErr w:type="spellEnd"/>
      <w:r>
        <w:rPr>
          <w:rFonts w:asciiTheme="majorBidi" w:hAnsiTheme="majorBidi" w:cstheme="majorBidi"/>
          <w:noProof w:val="0"/>
        </w:rPr>
        <w:t>)</w:t>
      </w:r>
    </w:p>
    <w:p w:rsidR="00085FCB" w:rsidRPr="002946FA" w:rsidRDefault="00085FCB" w:rsidP="00085FCB">
      <w:pPr>
        <w:bidi w:val="0"/>
        <w:rPr>
          <w:rFonts w:asciiTheme="majorBidi" w:hAnsiTheme="majorBidi" w:cstheme="majorBidi"/>
          <w:i/>
          <w:iCs/>
          <w:noProof w:val="0"/>
        </w:rPr>
      </w:pPr>
    </w:p>
    <w:p w:rsidR="002946FA" w:rsidRPr="002946FA" w:rsidRDefault="002946FA" w:rsidP="002946FA">
      <w:pPr>
        <w:bidi w:val="0"/>
        <w:rPr>
          <w:rFonts w:asciiTheme="majorBidi" w:hAnsiTheme="majorBidi" w:cstheme="majorBidi"/>
          <w:noProof w:val="0"/>
        </w:rPr>
      </w:pPr>
      <w:r w:rsidRPr="002946FA">
        <w:rPr>
          <w:rFonts w:asciiTheme="majorBidi" w:hAnsiTheme="majorBidi" w:cstheme="majorBidi"/>
          <w:noProof w:val="0"/>
        </w:rPr>
        <w:t xml:space="preserve">Michael </w:t>
      </w:r>
      <w:proofErr w:type="spellStart"/>
      <w:r w:rsidRPr="002946FA">
        <w:rPr>
          <w:rFonts w:asciiTheme="majorBidi" w:hAnsiTheme="majorBidi" w:cstheme="majorBidi"/>
          <w:noProof w:val="0"/>
        </w:rPr>
        <w:t>Ignatief</w:t>
      </w:r>
      <w:r>
        <w:rPr>
          <w:rFonts w:asciiTheme="majorBidi" w:hAnsiTheme="majorBidi" w:cstheme="majorBidi"/>
          <w:noProof w:val="0"/>
        </w:rPr>
        <w:t>f</w:t>
      </w:r>
      <w:proofErr w:type="spellEnd"/>
      <w:r>
        <w:rPr>
          <w:rFonts w:asciiTheme="majorBidi" w:hAnsiTheme="majorBidi" w:cstheme="majorBidi"/>
          <w:noProof w:val="0"/>
        </w:rPr>
        <w:t xml:space="preserve">, </w:t>
      </w:r>
      <w:proofErr w:type="gramStart"/>
      <w:r w:rsidRPr="002946FA">
        <w:rPr>
          <w:rFonts w:asciiTheme="majorBidi" w:hAnsiTheme="majorBidi" w:cstheme="majorBidi"/>
          <w:noProof w:val="0"/>
        </w:rPr>
        <w:t>The</w:t>
      </w:r>
      <w:proofErr w:type="gramEnd"/>
      <w:r w:rsidRPr="002946FA">
        <w:rPr>
          <w:rFonts w:asciiTheme="majorBidi" w:hAnsiTheme="majorBidi" w:cstheme="majorBidi"/>
          <w:noProof w:val="0"/>
        </w:rPr>
        <w:t xml:space="preserve"> Attack on</w:t>
      </w:r>
      <w:r>
        <w:rPr>
          <w:rFonts w:asciiTheme="majorBidi" w:hAnsiTheme="majorBidi" w:cstheme="majorBidi"/>
          <w:noProof w:val="0"/>
        </w:rPr>
        <w:t xml:space="preserve"> </w:t>
      </w:r>
      <w:r w:rsidRPr="002946FA">
        <w:rPr>
          <w:rFonts w:asciiTheme="majorBidi" w:hAnsiTheme="majorBidi" w:cstheme="majorBidi"/>
          <w:noProof w:val="0"/>
        </w:rPr>
        <w:t>Human Rights</w:t>
      </w:r>
      <w:r>
        <w:rPr>
          <w:rFonts w:asciiTheme="majorBidi" w:hAnsiTheme="majorBidi" w:cstheme="majorBidi"/>
          <w:noProof w:val="0"/>
        </w:rPr>
        <w:t xml:space="preserve">, </w:t>
      </w:r>
      <w:r w:rsidRPr="002946FA">
        <w:rPr>
          <w:rFonts w:asciiTheme="majorBidi" w:hAnsiTheme="majorBidi" w:cstheme="majorBidi"/>
          <w:i/>
          <w:iCs/>
          <w:noProof w:val="0"/>
        </w:rPr>
        <w:t>Foreign Affairs</w:t>
      </w:r>
      <w:r>
        <w:rPr>
          <w:rFonts w:asciiTheme="majorBidi" w:hAnsiTheme="majorBidi" w:cstheme="majorBidi"/>
          <w:noProof w:val="0"/>
        </w:rPr>
        <w:t>, 2001.</w:t>
      </w:r>
    </w:p>
    <w:p w:rsidR="002946FA" w:rsidRDefault="002946FA" w:rsidP="00574804">
      <w:pPr>
        <w:rPr>
          <w:rFonts w:asciiTheme="majorBidi" w:hAnsiTheme="majorBidi"/>
          <w:b/>
          <w:bCs/>
          <w:noProof w:val="0"/>
          <w:sz w:val="24"/>
          <w:szCs w:val="24"/>
        </w:rPr>
      </w:pPr>
    </w:p>
    <w:p w:rsidR="00085FCB" w:rsidRDefault="00085FCB" w:rsidP="00574804">
      <w:pPr>
        <w:rPr>
          <w:rFonts w:asciiTheme="majorBidi" w:hAnsiTheme="majorBidi"/>
          <w:b/>
          <w:bCs/>
          <w:noProof w:val="0"/>
          <w:sz w:val="24"/>
          <w:szCs w:val="24"/>
        </w:rPr>
      </w:pPr>
    </w:p>
    <w:p w:rsidR="00085FCB" w:rsidRDefault="00085FCB" w:rsidP="00574804">
      <w:pPr>
        <w:rPr>
          <w:rFonts w:asciiTheme="majorBidi" w:hAnsiTheme="majorBidi"/>
          <w:b/>
          <w:bCs/>
          <w:noProof w:val="0"/>
          <w:sz w:val="24"/>
          <w:szCs w:val="24"/>
        </w:rPr>
      </w:pPr>
    </w:p>
    <w:p w:rsidR="00085FCB" w:rsidRDefault="00085FCB" w:rsidP="00574804">
      <w:pPr>
        <w:rPr>
          <w:rFonts w:asciiTheme="majorBidi" w:hAnsiTheme="majorBidi"/>
          <w:b/>
          <w:bCs/>
          <w:noProof w:val="0"/>
          <w:sz w:val="24"/>
          <w:szCs w:val="24"/>
        </w:rPr>
      </w:pPr>
    </w:p>
    <w:p w:rsidR="00085FCB" w:rsidRDefault="00574804" w:rsidP="00574804">
      <w:pPr>
        <w:rPr>
          <w:rFonts w:asciiTheme="majorBidi" w:hAnsiTheme="majorBidi"/>
          <w:b/>
          <w:bCs/>
          <w:noProof w:val="0"/>
          <w:sz w:val="24"/>
          <w:szCs w:val="24"/>
          <w:rtl/>
        </w:rPr>
      </w:pPr>
      <w:r w:rsidRPr="002946FA">
        <w:rPr>
          <w:rFonts w:asciiTheme="majorBidi" w:hAnsiTheme="majorBidi" w:hint="cs"/>
          <w:b/>
          <w:bCs/>
          <w:noProof w:val="0"/>
          <w:sz w:val="24"/>
          <w:szCs w:val="24"/>
          <w:rtl/>
        </w:rPr>
        <w:lastRenderedPageBreak/>
        <w:t>20</w:t>
      </w:r>
      <w:r w:rsidRPr="002946FA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במאי: </w:t>
      </w:r>
      <w:r w:rsidRPr="002946FA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זכויות אדם</w:t>
      </w:r>
      <w:r w:rsidR="00085FCB">
        <w:rPr>
          <w:rFonts w:asciiTheme="majorBidi" w:hAnsiTheme="majorBidi"/>
          <w:b/>
          <w:bCs/>
          <w:noProof w:val="0"/>
          <w:sz w:val="24"/>
          <w:szCs w:val="24"/>
        </w:rPr>
        <w:t>—</w:t>
      </w:r>
      <w:r w:rsidR="00085FCB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 xml:space="preserve">הגישה </w:t>
      </w:r>
      <w:proofErr w:type="spellStart"/>
      <w:r w:rsidR="00085FCB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הביקורטית</w:t>
      </w:r>
      <w:proofErr w:type="spellEnd"/>
    </w:p>
    <w:p w:rsidR="00574804" w:rsidRPr="002946FA" w:rsidRDefault="00574804" w:rsidP="00574804">
      <w:pPr>
        <w:rPr>
          <w:rFonts w:asciiTheme="majorBidi" w:hAnsiTheme="majorBidi"/>
          <w:b/>
          <w:bCs/>
          <w:noProof w:val="0"/>
          <w:sz w:val="24"/>
          <w:szCs w:val="24"/>
          <w:rtl/>
        </w:rPr>
      </w:pPr>
      <w:r w:rsidRPr="002946FA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ab/>
      </w:r>
    </w:p>
    <w:p w:rsidR="00085FCB" w:rsidRPr="00085FCB" w:rsidRDefault="00085FCB" w:rsidP="00085FCB">
      <w:pPr>
        <w:bidi w:val="0"/>
        <w:rPr>
          <w:rFonts w:asciiTheme="majorBidi" w:hAnsiTheme="majorBidi" w:cstheme="majorBidi"/>
          <w:noProof w:val="0"/>
          <w:rtl/>
        </w:rPr>
      </w:pPr>
      <w:r w:rsidRPr="00085FCB">
        <w:rPr>
          <w:rFonts w:asciiTheme="majorBidi" w:hAnsiTheme="majorBidi"/>
          <w:noProof w:val="0"/>
        </w:rPr>
        <w:t>Brown, Wendy. 2004. "" The most we can Hope for...</w:t>
      </w:r>
      <w:proofErr w:type="gramStart"/>
      <w:r w:rsidRPr="00085FCB">
        <w:rPr>
          <w:rFonts w:asciiTheme="majorBidi" w:hAnsiTheme="majorBidi"/>
          <w:noProof w:val="0"/>
        </w:rPr>
        <w:t>":</w:t>
      </w:r>
      <w:proofErr w:type="gramEnd"/>
      <w:r w:rsidRPr="00085FCB">
        <w:rPr>
          <w:rFonts w:asciiTheme="majorBidi" w:hAnsiTheme="majorBidi"/>
          <w:noProof w:val="0"/>
        </w:rPr>
        <w:t xml:space="preserve"> Human Rights and the Politics of Fatalism." The South Atlantic Quarterly 103 (2): 451-463.</w:t>
      </w:r>
    </w:p>
    <w:p w:rsidR="00085FCB" w:rsidRDefault="00085FCB" w:rsidP="00085FCB">
      <w:pPr>
        <w:bidi w:val="0"/>
        <w:rPr>
          <w:rFonts w:asciiTheme="majorBidi" w:hAnsiTheme="majorBidi" w:cstheme="majorBidi"/>
          <w:noProof w:val="0"/>
        </w:rPr>
      </w:pPr>
    </w:p>
    <w:p w:rsidR="00085FCB" w:rsidRDefault="00085FCB" w:rsidP="00085FCB">
      <w:pPr>
        <w:bidi w:val="0"/>
      </w:pPr>
      <w:proofErr w:type="spellStart"/>
      <w:r w:rsidRPr="00085FCB">
        <w:rPr>
          <w:rFonts w:asciiTheme="majorBidi" w:hAnsiTheme="majorBidi" w:cstheme="majorBidi"/>
          <w:noProof w:val="0"/>
        </w:rPr>
        <w:t>Mutua</w:t>
      </w:r>
      <w:proofErr w:type="spellEnd"/>
      <w:r w:rsidRPr="00085FCB">
        <w:rPr>
          <w:rFonts w:asciiTheme="majorBidi" w:hAnsiTheme="majorBidi" w:cstheme="majorBidi"/>
          <w:noProof w:val="0"/>
        </w:rPr>
        <w:t>, M. 2001. "Savages, Victims, and Saviors: The Metaphor of Human Rights." Harvard International Law Journal 42: 201-246</w:t>
      </w:r>
      <w:r w:rsidRPr="00085FCB">
        <w:rPr>
          <w:rFonts w:asciiTheme="majorBidi" w:hAnsiTheme="majorBidi"/>
          <w:noProof w:val="0"/>
          <w:rtl/>
        </w:rPr>
        <w:t>.</w:t>
      </w:r>
      <w:r w:rsidRPr="00085FCB">
        <w:t xml:space="preserve"> </w:t>
      </w:r>
    </w:p>
    <w:p w:rsidR="00085FCB" w:rsidRDefault="00085FCB" w:rsidP="00085FCB">
      <w:pPr>
        <w:bidi w:val="0"/>
      </w:pPr>
    </w:p>
    <w:p w:rsidR="00085FCB" w:rsidRDefault="00574804" w:rsidP="00574804">
      <w:pPr>
        <w:rPr>
          <w:rFonts w:asciiTheme="majorBidi" w:hAnsiTheme="majorBidi"/>
          <w:b/>
          <w:bCs/>
          <w:noProof w:val="0"/>
          <w:sz w:val="24"/>
          <w:szCs w:val="24"/>
          <w:rtl/>
        </w:rPr>
      </w:pPr>
      <w:r w:rsidRPr="002946FA">
        <w:rPr>
          <w:rFonts w:asciiTheme="majorBidi" w:hAnsiTheme="majorBidi"/>
          <w:b/>
          <w:bCs/>
          <w:noProof w:val="0"/>
          <w:sz w:val="24"/>
          <w:szCs w:val="24"/>
          <w:rtl/>
        </w:rPr>
        <w:t>1</w:t>
      </w:r>
      <w:r w:rsidRPr="002946FA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0</w:t>
      </w:r>
      <w:r w:rsidRPr="002946FA">
        <w:rPr>
          <w:rFonts w:asciiTheme="majorBidi" w:hAnsiTheme="majorBidi"/>
          <w:b/>
          <w:bCs/>
          <w:noProof w:val="0"/>
          <w:sz w:val="24"/>
          <w:szCs w:val="24"/>
          <w:rtl/>
        </w:rPr>
        <w:t xml:space="preserve"> ביוני: </w:t>
      </w:r>
      <w:r w:rsidRPr="002946FA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זכויות אדם</w:t>
      </w:r>
      <w:r w:rsidR="00085FCB">
        <w:rPr>
          <w:rFonts w:asciiTheme="majorBidi" w:hAnsiTheme="majorBidi"/>
          <w:b/>
          <w:bCs/>
          <w:noProof w:val="0"/>
          <w:sz w:val="24"/>
          <w:szCs w:val="24"/>
          <w:rtl/>
        </w:rPr>
        <w:t>—</w:t>
      </w:r>
      <w:r w:rsidR="00085FCB">
        <w:rPr>
          <w:rFonts w:asciiTheme="majorBidi" w:hAnsiTheme="majorBidi" w:hint="cs"/>
          <w:b/>
          <w:bCs/>
          <w:noProof w:val="0"/>
          <w:sz w:val="24"/>
          <w:szCs w:val="24"/>
          <w:rtl/>
        </w:rPr>
        <w:t>גישות אנתרופולוגיות</w:t>
      </w:r>
    </w:p>
    <w:p w:rsidR="00574804" w:rsidRPr="002946FA" w:rsidRDefault="00085FCB" w:rsidP="00085FCB">
      <w:pPr>
        <w:bidi w:val="0"/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>
        <w:rPr>
          <w:rFonts w:asciiTheme="majorBidi" w:hAnsiTheme="majorBidi" w:hint="cs"/>
          <w:b/>
          <w:bCs/>
          <w:noProof w:val="0"/>
          <w:sz w:val="24"/>
          <w:szCs w:val="24"/>
          <w:rtl/>
        </w:rPr>
        <w:t xml:space="preserve"> </w:t>
      </w:r>
    </w:p>
    <w:p w:rsidR="00085FCB" w:rsidRDefault="00085FCB" w:rsidP="00085FCB">
      <w:pPr>
        <w:bidi w:val="0"/>
        <w:rPr>
          <w:rFonts w:asciiTheme="majorBidi" w:hAnsiTheme="majorBidi" w:cstheme="majorBidi"/>
          <w:noProof w:val="0"/>
        </w:rPr>
      </w:pPr>
      <w:proofErr w:type="gramStart"/>
      <w:r w:rsidRPr="00085FCB">
        <w:rPr>
          <w:rFonts w:asciiTheme="majorBidi" w:hAnsiTheme="majorBidi" w:cstheme="majorBidi"/>
          <w:noProof w:val="0"/>
        </w:rPr>
        <w:t>Merry, Sally Engle.</w:t>
      </w:r>
      <w:proofErr w:type="gramEnd"/>
      <w:r w:rsidRPr="00085FCB">
        <w:rPr>
          <w:rFonts w:asciiTheme="majorBidi" w:hAnsiTheme="majorBidi" w:cstheme="majorBidi"/>
          <w:noProof w:val="0"/>
        </w:rPr>
        <w:t xml:space="preserve"> 2008. "Transnational Human Rights and Local Activism: Mapping the Middle." American Anthropologist 108 (1): 38-51</w:t>
      </w:r>
    </w:p>
    <w:p w:rsidR="00085FCB" w:rsidRDefault="00085FCB" w:rsidP="00085FCB">
      <w:pPr>
        <w:bidi w:val="0"/>
        <w:rPr>
          <w:rFonts w:asciiTheme="majorBidi" w:hAnsiTheme="majorBidi" w:cstheme="majorBidi"/>
          <w:noProof w:val="0"/>
        </w:rPr>
      </w:pPr>
    </w:p>
    <w:p w:rsidR="004A7179" w:rsidRPr="00085FCB" w:rsidRDefault="00085FCB" w:rsidP="00085FCB">
      <w:pPr>
        <w:bidi w:val="0"/>
        <w:rPr>
          <w:rFonts w:asciiTheme="majorBidi" w:hAnsiTheme="majorBidi" w:cstheme="majorBidi"/>
          <w:noProof w:val="0"/>
        </w:rPr>
      </w:pPr>
      <w:r>
        <w:rPr>
          <w:rFonts w:asciiTheme="majorBidi" w:hAnsiTheme="majorBidi"/>
          <w:noProof w:val="0"/>
        </w:rPr>
        <w:t>Neve Gordon, TBA</w:t>
      </w:r>
    </w:p>
    <w:p w:rsidR="00D37846" w:rsidRPr="00D37846" w:rsidRDefault="00D37846" w:rsidP="00D37846">
      <w:pPr>
        <w:autoSpaceDE w:val="0"/>
        <w:autoSpaceDN w:val="0"/>
        <w:bidi w:val="0"/>
        <w:adjustRightInd w:val="0"/>
        <w:rPr>
          <w:rFonts w:asciiTheme="majorBidi" w:hAnsiTheme="majorBidi" w:cstheme="majorBidi"/>
          <w:rtl/>
        </w:rPr>
      </w:pPr>
    </w:p>
    <w:sectPr w:rsidR="00D37846" w:rsidRPr="00D3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9EA"/>
    <w:multiLevelType w:val="hybridMultilevel"/>
    <w:tmpl w:val="C73A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7"/>
    <w:rsid w:val="000120FF"/>
    <w:rsid w:val="00013000"/>
    <w:rsid w:val="00032CF5"/>
    <w:rsid w:val="00043EDF"/>
    <w:rsid w:val="00047158"/>
    <w:rsid w:val="0007284F"/>
    <w:rsid w:val="00085FCB"/>
    <w:rsid w:val="000A1F79"/>
    <w:rsid w:val="000B7F6D"/>
    <w:rsid w:val="000D3237"/>
    <w:rsid w:val="000D5A4A"/>
    <w:rsid w:val="000D7D3B"/>
    <w:rsid w:val="000F3A78"/>
    <w:rsid w:val="001200E5"/>
    <w:rsid w:val="0012063A"/>
    <w:rsid w:val="001333AA"/>
    <w:rsid w:val="0014210F"/>
    <w:rsid w:val="00144954"/>
    <w:rsid w:val="0014719E"/>
    <w:rsid w:val="00150EA1"/>
    <w:rsid w:val="001604CC"/>
    <w:rsid w:val="00166065"/>
    <w:rsid w:val="001864DE"/>
    <w:rsid w:val="001B1B13"/>
    <w:rsid w:val="001C6E4A"/>
    <w:rsid w:val="001E0386"/>
    <w:rsid w:val="0022511F"/>
    <w:rsid w:val="002533A6"/>
    <w:rsid w:val="002542E2"/>
    <w:rsid w:val="0026298B"/>
    <w:rsid w:val="00267FCD"/>
    <w:rsid w:val="002946FA"/>
    <w:rsid w:val="00294730"/>
    <w:rsid w:val="002A41E2"/>
    <w:rsid w:val="002C1067"/>
    <w:rsid w:val="002D0466"/>
    <w:rsid w:val="002E5151"/>
    <w:rsid w:val="0030636C"/>
    <w:rsid w:val="003130EC"/>
    <w:rsid w:val="00320DDC"/>
    <w:rsid w:val="003328DF"/>
    <w:rsid w:val="003952F0"/>
    <w:rsid w:val="003965BC"/>
    <w:rsid w:val="003A1CBD"/>
    <w:rsid w:val="003B6AA4"/>
    <w:rsid w:val="003C0F0C"/>
    <w:rsid w:val="003F2FFF"/>
    <w:rsid w:val="00401B78"/>
    <w:rsid w:val="00405AB8"/>
    <w:rsid w:val="00426BD9"/>
    <w:rsid w:val="00440E4C"/>
    <w:rsid w:val="0046656B"/>
    <w:rsid w:val="00490BFE"/>
    <w:rsid w:val="00491F45"/>
    <w:rsid w:val="004A7179"/>
    <w:rsid w:val="004C0A77"/>
    <w:rsid w:val="004C206F"/>
    <w:rsid w:val="004C4F04"/>
    <w:rsid w:val="004D7F38"/>
    <w:rsid w:val="005039A6"/>
    <w:rsid w:val="0050700F"/>
    <w:rsid w:val="005116F4"/>
    <w:rsid w:val="00534DFC"/>
    <w:rsid w:val="00574804"/>
    <w:rsid w:val="00580007"/>
    <w:rsid w:val="00583DA6"/>
    <w:rsid w:val="00585BC9"/>
    <w:rsid w:val="005A08FE"/>
    <w:rsid w:val="005A1C44"/>
    <w:rsid w:val="005B2373"/>
    <w:rsid w:val="005B58F6"/>
    <w:rsid w:val="005C02D7"/>
    <w:rsid w:val="005C5174"/>
    <w:rsid w:val="005D71E6"/>
    <w:rsid w:val="005E0081"/>
    <w:rsid w:val="005F1697"/>
    <w:rsid w:val="005F32B7"/>
    <w:rsid w:val="00601060"/>
    <w:rsid w:val="00611B50"/>
    <w:rsid w:val="00611D20"/>
    <w:rsid w:val="006139A0"/>
    <w:rsid w:val="00627750"/>
    <w:rsid w:val="00644123"/>
    <w:rsid w:val="00645BCB"/>
    <w:rsid w:val="00650C78"/>
    <w:rsid w:val="006776F4"/>
    <w:rsid w:val="0068377E"/>
    <w:rsid w:val="006A6CB9"/>
    <w:rsid w:val="006B6AF7"/>
    <w:rsid w:val="006C175F"/>
    <w:rsid w:val="006E30F4"/>
    <w:rsid w:val="006F2014"/>
    <w:rsid w:val="00701521"/>
    <w:rsid w:val="00705CF2"/>
    <w:rsid w:val="00722429"/>
    <w:rsid w:val="00730241"/>
    <w:rsid w:val="0073026C"/>
    <w:rsid w:val="00751E96"/>
    <w:rsid w:val="007776C2"/>
    <w:rsid w:val="0079081B"/>
    <w:rsid w:val="007F1BDE"/>
    <w:rsid w:val="00811B5A"/>
    <w:rsid w:val="00815EA0"/>
    <w:rsid w:val="008240B7"/>
    <w:rsid w:val="0082610F"/>
    <w:rsid w:val="00831A18"/>
    <w:rsid w:val="00843925"/>
    <w:rsid w:val="00843940"/>
    <w:rsid w:val="008C0F80"/>
    <w:rsid w:val="008C5BCB"/>
    <w:rsid w:val="008D2F25"/>
    <w:rsid w:val="008E36A3"/>
    <w:rsid w:val="0090652B"/>
    <w:rsid w:val="00906C24"/>
    <w:rsid w:val="00914A86"/>
    <w:rsid w:val="0091655A"/>
    <w:rsid w:val="00935196"/>
    <w:rsid w:val="00957569"/>
    <w:rsid w:val="0096026F"/>
    <w:rsid w:val="00961045"/>
    <w:rsid w:val="00966168"/>
    <w:rsid w:val="00972716"/>
    <w:rsid w:val="00977ED7"/>
    <w:rsid w:val="00982370"/>
    <w:rsid w:val="00996730"/>
    <w:rsid w:val="009A63C8"/>
    <w:rsid w:val="009B077B"/>
    <w:rsid w:val="009D48D6"/>
    <w:rsid w:val="009E09FE"/>
    <w:rsid w:val="00A0024D"/>
    <w:rsid w:val="00A03324"/>
    <w:rsid w:val="00A0417A"/>
    <w:rsid w:val="00A3286F"/>
    <w:rsid w:val="00A35742"/>
    <w:rsid w:val="00A360E0"/>
    <w:rsid w:val="00A73604"/>
    <w:rsid w:val="00A80465"/>
    <w:rsid w:val="00A819ED"/>
    <w:rsid w:val="00B00147"/>
    <w:rsid w:val="00B2118F"/>
    <w:rsid w:val="00B417D2"/>
    <w:rsid w:val="00B51878"/>
    <w:rsid w:val="00B67068"/>
    <w:rsid w:val="00B678B6"/>
    <w:rsid w:val="00B70B89"/>
    <w:rsid w:val="00B9723A"/>
    <w:rsid w:val="00BA53C2"/>
    <w:rsid w:val="00BA65C1"/>
    <w:rsid w:val="00BB6454"/>
    <w:rsid w:val="00BB695B"/>
    <w:rsid w:val="00BB7BE8"/>
    <w:rsid w:val="00BD2176"/>
    <w:rsid w:val="00BE5FB2"/>
    <w:rsid w:val="00BF04A9"/>
    <w:rsid w:val="00C11251"/>
    <w:rsid w:val="00C24915"/>
    <w:rsid w:val="00C45615"/>
    <w:rsid w:val="00C474AD"/>
    <w:rsid w:val="00C53DE6"/>
    <w:rsid w:val="00C93E56"/>
    <w:rsid w:val="00CC56CD"/>
    <w:rsid w:val="00CC7578"/>
    <w:rsid w:val="00CF154C"/>
    <w:rsid w:val="00D00018"/>
    <w:rsid w:val="00D22D9F"/>
    <w:rsid w:val="00D261EB"/>
    <w:rsid w:val="00D37846"/>
    <w:rsid w:val="00D40314"/>
    <w:rsid w:val="00D41A5B"/>
    <w:rsid w:val="00D43394"/>
    <w:rsid w:val="00D56162"/>
    <w:rsid w:val="00D67341"/>
    <w:rsid w:val="00D774DC"/>
    <w:rsid w:val="00DA1DA3"/>
    <w:rsid w:val="00DC6E24"/>
    <w:rsid w:val="00DD07A5"/>
    <w:rsid w:val="00DD3D97"/>
    <w:rsid w:val="00DD51F1"/>
    <w:rsid w:val="00E16CD8"/>
    <w:rsid w:val="00E22485"/>
    <w:rsid w:val="00E25455"/>
    <w:rsid w:val="00E36642"/>
    <w:rsid w:val="00E51C67"/>
    <w:rsid w:val="00E52190"/>
    <w:rsid w:val="00E9032D"/>
    <w:rsid w:val="00E974D4"/>
    <w:rsid w:val="00EA7F85"/>
    <w:rsid w:val="00EB0D53"/>
    <w:rsid w:val="00ED08B8"/>
    <w:rsid w:val="00F06502"/>
    <w:rsid w:val="00F1079B"/>
    <w:rsid w:val="00F11721"/>
    <w:rsid w:val="00F25A96"/>
    <w:rsid w:val="00F503D1"/>
    <w:rsid w:val="00F52F1D"/>
    <w:rsid w:val="00F578BC"/>
    <w:rsid w:val="00F6160A"/>
    <w:rsid w:val="00F7001F"/>
    <w:rsid w:val="00F76052"/>
    <w:rsid w:val="00F86603"/>
    <w:rsid w:val="00FA699D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D7"/>
    <w:pPr>
      <w:bidi/>
    </w:pPr>
    <w:rPr>
      <w:rFonts w:ascii="Times New Roman" w:eastAsia="Times New Roman" w:hAnsi="Times New Roman" w:cs="Times New Roman"/>
      <w:noProof/>
      <w:lang w:eastAsia="he-IL" w:bidi="he-IL"/>
    </w:rPr>
  </w:style>
  <w:style w:type="paragraph" w:styleId="1">
    <w:name w:val="heading 1"/>
    <w:basedOn w:val="a"/>
    <w:link w:val="10"/>
    <w:uiPriority w:val="9"/>
    <w:qFormat/>
    <w:rsid w:val="005D7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1E6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5D7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link w:val="2"/>
    <w:uiPriority w:val="9"/>
    <w:semiHidden/>
    <w:rsid w:val="005D71E6"/>
    <w:rPr>
      <w:rFonts w:ascii="Cambria" w:eastAsiaTheme="majorEastAsia" w:hAnsi="Cambria" w:cstheme="majorBidi"/>
      <w:b/>
      <w:bCs/>
      <w:i/>
      <w:iCs/>
      <w:sz w:val="28"/>
      <w:szCs w:val="28"/>
      <w:lang w:bidi="he-IL"/>
    </w:rPr>
  </w:style>
  <w:style w:type="character" w:styleId="a3">
    <w:name w:val="Strong"/>
    <w:uiPriority w:val="22"/>
    <w:qFormat/>
    <w:rsid w:val="005D71E6"/>
    <w:rPr>
      <w:b/>
      <w:bCs/>
    </w:rPr>
  </w:style>
  <w:style w:type="character" w:styleId="a4">
    <w:name w:val="Emphasis"/>
    <w:uiPriority w:val="20"/>
    <w:qFormat/>
    <w:rsid w:val="005D71E6"/>
    <w:rPr>
      <w:i/>
      <w:iCs/>
    </w:rPr>
  </w:style>
  <w:style w:type="paragraph" w:styleId="a5">
    <w:name w:val="No Spacing"/>
    <w:uiPriority w:val="1"/>
    <w:qFormat/>
    <w:rsid w:val="005D71E6"/>
    <w:rPr>
      <w:sz w:val="22"/>
      <w:szCs w:val="22"/>
      <w:lang w:bidi="he-IL"/>
    </w:rPr>
  </w:style>
  <w:style w:type="paragraph" w:styleId="a6">
    <w:name w:val="List Paragraph"/>
    <w:basedOn w:val="a"/>
    <w:uiPriority w:val="34"/>
    <w:qFormat/>
    <w:rsid w:val="005D71E6"/>
    <w:pPr>
      <w:spacing w:after="200" w:line="276" w:lineRule="auto"/>
      <w:ind w:left="720"/>
      <w:contextualSpacing/>
    </w:pPr>
    <w:rPr>
      <w:lang w:val="en-CA" w:bidi="ar-SA"/>
    </w:rPr>
  </w:style>
  <w:style w:type="paragraph" w:styleId="a7">
    <w:name w:val="endnote text"/>
    <w:basedOn w:val="a"/>
    <w:link w:val="a8"/>
    <w:autoRedefine/>
    <w:unhideWhenUsed/>
    <w:qFormat/>
    <w:rsid w:val="005D71E6"/>
    <w:pPr>
      <w:spacing w:after="200" w:line="276" w:lineRule="auto"/>
      <w:jc w:val="right"/>
    </w:pPr>
    <w:rPr>
      <w:lang w:val="x-none" w:eastAsia="x-none"/>
    </w:rPr>
  </w:style>
  <w:style w:type="character" w:customStyle="1" w:styleId="a8">
    <w:name w:val="טקסט הערת סיום תו"/>
    <w:link w:val="a7"/>
    <w:rsid w:val="005D71E6"/>
    <w:rPr>
      <w:rFonts w:cs="Times New Roman"/>
      <w:lang w:val="x-none" w:eastAsia="x-none" w:bidi="he-IL"/>
    </w:rPr>
  </w:style>
  <w:style w:type="paragraph" w:customStyle="1" w:styleId="Default">
    <w:name w:val="Default"/>
    <w:rsid w:val="00977ED7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D7"/>
    <w:pPr>
      <w:bidi/>
    </w:pPr>
    <w:rPr>
      <w:rFonts w:ascii="Times New Roman" w:eastAsia="Times New Roman" w:hAnsi="Times New Roman" w:cs="Times New Roman"/>
      <w:noProof/>
      <w:lang w:eastAsia="he-IL" w:bidi="he-IL"/>
    </w:rPr>
  </w:style>
  <w:style w:type="paragraph" w:styleId="1">
    <w:name w:val="heading 1"/>
    <w:basedOn w:val="a"/>
    <w:link w:val="10"/>
    <w:uiPriority w:val="9"/>
    <w:qFormat/>
    <w:rsid w:val="005D7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1E6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5D7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link w:val="2"/>
    <w:uiPriority w:val="9"/>
    <w:semiHidden/>
    <w:rsid w:val="005D71E6"/>
    <w:rPr>
      <w:rFonts w:ascii="Cambria" w:eastAsiaTheme="majorEastAsia" w:hAnsi="Cambria" w:cstheme="majorBidi"/>
      <w:b/>
      <w:bCs/>
      <w:i/>
      <w:iCs/>
      <w:sz w:val="28"/>
      <w:szCs w:val="28"/>
      <w:lang w:bidi="he-IL"/>
    </w:rPr>
  </w:style>
  <w:style w:type="character" w:styleId="a3">
    <w:name w:val="Strong"/>
    <w:uiPriority w:val="22"/>
    <w:qFormat/>
    <w:rsid w:val="005D71E6"/>
    <w:rPr>
      <w:b/>
      <w:bCs/>
    </w:rPr>
  </w:style>
  <w:style w:type="character" w:styleId="a4">
    <w:name w:val="Emphasis"/>
    <w:uiPriority w:val="20"/>
    <w:qFormat/>
    <w:rsid w:val="005D71E6"/>
    <w:rPr>
      <w:i/>
      <w:iCs/>
    </w:rPr>
  </w:style>
  <w:style w:type="paragraph" w:styleId="a5">
    <w:name w:val="No Spacing"/>
    <w:uiPriority w:val="1"/>
    <w:qFormat/>
    <w:rsid w:val="005D71E6"/>
    <w:rPr>
      <w:sz w:val="22"/>
      <w:szCs w:val="22"/>
      <w:lang w:bidi="he-IL"/>
    </w:rPr>
  </w:style>
  <w:style w:type="paragraph" w:styleId="a6">
    <w:name w:val="List Paragraph"/>
    <w:basedOn w:val="a"/>
    <w:uiPriority w:val="34"/>
    <w:qFormat/>
    <w:rsid w:val="005D71E6"/>
    <w:pPr>
      <w:spacing w:after="200" w:line="276" w:lineRule="auto"/>
      <w:ind w:left="720"/>
      <w:contextualSpacing/>
    </w:pPr>
    <w:rPr>
      <w:lang w:val="en-CA" w:bidi="ar-SA"/>
    </w:rPr>
  </w:style>
  <w:style w:type="paragraph" w:styleId="a7">
    <w:name w:val="endnote text"/>
    <w:basedOn w:val="a"/>
    <w:link w:val="a8"/>
    <w:autoRedefine/>
    <w:unhideWhenUsed/>
    <w:qFormat/>
    <w:rsid w:val="005D71E6"/>
    <w:pPr>
      <w:spacing w:after="200" w:line="276" w:lineRule="auto"/>
      <w:jc w:val="right"/>
    </w:pPr>
    <w:rPr>
      <w:lang w:val="x-none" w:eastAsia="x-none"/>
    </w:rPr>
  </w:style>
  <w:style w:type="character" w:customStyle="1" w:styleId="a8">
    <w:name w:val="טקסט הערת סיום תו"/>
    <w:link w:val="a7"/>
    <w:rsid w:val="005D71E6"/>
    <w:rPr>
      <w:rFonts w:cs="Times New Roman"/>
      <w:lang w:val="x-none" w:eastAsia="x-none" w:bidi="he-IL"/>
    </w:rPr>
  </w:style>
  <w:style w:type="paragraph" w:customStyle="1" w:styleId="Default">
    <w:name w:val="Default"/>
    <w:rsid w:val="00977ED7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5RW434VQ3H3S-2091-749</_dlc_DocId>
    <_dlc_DocIdUrl xmlns="3fd1f8e8-d4eb-4fa9-9edf-90e13be718c2">
      <Url>https://in.bgu.ac.il/humsos/politics/_layouts/DocIdRedir.aspx?ID=5RW434VQ3H3S-2091-749</Url>
      <Description>5RW434VQ3H3S-2091-749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E013F-516A-4A7F-826F-13A9B242EB13}"/>
</file>

<file path=customXml/itemProps2.xml><?xml version="1.0" encoding="utf-8"?>
<ds:datastoreItem xmlns:ds="http://schemas.openxmlformats.org/officeDocument/2006/customXml" ds:itemID="{CA32AFB3-9EEB-489F-93F8-E16E35C88588}"/>
</file>

<file path=customXml/itemProps3.xml><?xml version="1.0" encoding="utf-8"?>
<ds:datastoreItem xmlns:ds="http://schemas.openxmlformats.org/officeDocument/2006/customXml" ds:itemID="{2B2AA790-05CB-4C0C-972D-CD90A5A17DEE}"/>
</file>

<file path=customXml/itemProps4.xml><?xml version="1.0" encoding="utf-8"?>
<ds:datastoreItem xmlns:ds="http://schemas.openxmlformats.org/officeDocument/2006/customXml" ds:itemID="{DB88DEA1-6C60-41C2-AB29-2CDC8204D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Gordon</dc:creator>
  <cp:lastModifiedBy>ansegal</cp:lastModifiedBy>
  <cp:revision>2</cp:revision>
  <dcterms:created xsi:type="dcterms:W3CDTF">2013-10-17T11:51:00Z</dcterms:created>
  <dcterms:modified xsi:type="dcterms:W3CDTF">2013-10-17T11:51:00Z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1a15b3fa-04ec-438c-be37-c0436e425efe</vt:lpwstr>
  </property>
</Properties>
</file>