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EB" w:rsidRDefault="003710EB" w:rsidP="003710E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hint="cs"/>
          <w:rtl/>
        </w:rPr>
        <w:t xml:space="preserve">        </w:t>
      </w:r>
      <w:r>
        <w:rPr>
          <w:rFonts w:hint="cs"/>
          <w:rtl/>
        </w:rPr>
        <w:tab/>
        <w:t xml:space="preserve">     </w:t>
      </w:r>
      <w:r w:rsidR="007F1001">
        <w:rPr>
          <w:noProof/>
        </w:rPr>
        <w:drawing>
          <wp:inline distT="0" distB="0" distL="0" distR="0">
            <wp:extent cx="3314700" cy="669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269" cy="6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81000" cy="561975"/>
            <wp:effectExtent l="0" t="0" r="0" b="9525"/>
            <wp:docPr id="1" name="Picture 1" descr="bla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rtl/>
        </w:rPr>
        <w:t xml:space="preserve">  </w:t>
      </w:r>
    </w:p>
    <w:p w:rsidR="003710EB" w:rsidRDefault="003710EB" w:rsidP="003710EB">
      <w:pPr>
        <w:ind w:left="26" w:hanging="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אוניברסיטת בן-גוריון בנגב</w:t>
      </w:r>
      <w:r>
        <w:rPr>
          <w:rFonts w:ascii="Arial" w:hAnsi="Arial" w:cs="Arial"/>
          <w:sz w:val="28"/>
          <w:szCs w:val="28"/>
          <w:rtl/>
        </w:rPr>
        <w:t xml:space="preserve">  </w:t>
      </w:r>
    </w:p>
    <w:p w:rsidR="003710EB" w:rsidRDefault="003710EB" w:rsidP="007F1001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המחלקה לפוליטיקה וממשל, שנה"ל תש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ע</w:t>
      </w:r>
      <w:r>
        <w:rPr>
          <w:rFonts w:ascii="Arial" w:hAnsi="Arial" w:cs="Arial"/>
          <w:b/>
          <w:bCs/>
          <w:sz w:val="28"/>
          <w:szCs w:val="28"/>
          <w:rtl/>
        </w:rPr>
        <w:t>"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ג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20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12</w:t>
      </w:r>
      <w:r>
        <w:rPr>
          <w:rFonts w:ascii="Arial" w:hAnsi="Arial" w:cs="Arial"/>
          <w:b/>
          <w:bCs/>
          <w:sz w:val="28"/>
          <w:szCs w:val="28"/>
          <w:rtl/>
        </w:rPr>
        <w:t>-20</w:t>
      </w:r>
      <w:r w:rsidR="007F1001">
        <w:rPr>
          <w:rFonts w:ascii="Arial" w:hAnsi="Arial" w:cs="Arial" w:hint="cs"/>
          <w:b/>
          <w:bCs/>
          <w:sz w:val="28"/>
          <w:szCs w:val="28"/>
          <w:rtl/>
        </w:rPr>
        <w:t>13</w:t>
      </w:r>
    </w:p>
    <w:p w:rsidR="003710EB" w:rsidRDefault="003710EB" w:rsidP="003710EB">
      <w:pPr>
        <w:jc w:val="center"/>
        <w:rPr>
          <w:rFonts w:ascii="Arial" w:hAnsi="Arial" w:cs="Arial"/>
          <w:b/>
          <w:bCs/>
          <w:i/>
          <w:iCs/>
          <w:sz w:val="28"/>
          <w:szCs w:val="28"/>
          <w:rtl/>
        </w:rPr>
      </w:pPr>
      <w:r>
        <w:rPr>
          <w:rFonts w:ascii="Arial" w:hAnsi="Arial" w:cs="Arial"/>
          <w:b/>
          <w:bCs/>
          <w:i/>
          <w:iCs/>
          <w:sz w:val="28"/>
          <w:szCs w:val="28"/>
          <w:rtl/>
        </w:rPr>
        <w:t xml:space="preserve">חטיבת אדנאואר ללימודי פוליטיקה וחברה אירופית </w:t>
      </w:r>
    </w:p>
    <w:p w:rsidR="003710EB" w:rsidRDefault="003710EB" w:rsidP="003710EB">
      <w:pPr>
        <w:pStyle w:val="2"/>
        <w:rPr>
          <w:rFonts w:ascii="Arial" w:hAnsi="Arial" w:cs="Arial"/>
          <w:i w:val="0"/>
          <w:iCs w:val="0"/>
          <w:rtl/>
        </w:rPr>
      </w:pPr>
    </w:p>
    <w:p w:rsidR="003710EB" w:rsidRDefault="003710EB" w:rsidP="007F1001">
      <w:pPr>
        <w:bidi w:val="0"/>
        <w:jc w:val="center"/>
        <w:rPr>
          <w:b/>
          <w:bCs/>
          <w:i/>
          <w:iCs/>
          <w:sz w:val="36"/>
          <w:szCs w:val="36"/>
          <w:rtl/>
        </w:rPr>
      </w:pPr>
      <w:r>
        <w:rPr>
          <w:rFonts w:hint="cs"/>
          <w:b/>
          <w:bCs/>
          <w:sz w:val="32"/>
          <w:szCs w:val="32"/>
          <w:rtl/>
        </w:rPr>
        <w:t>פוליטיקה של הבלקנים</w:t>
      </w:r>
      <w:r w:rsidR="007F1001">
        <w:rPr>
          <w:rFonts w:hint="cs"/>
          <w:b/>
          <w:bCs/>
          <w:sz w:val="32"/>
          <w:szCs w:val="32"/>
          <w:rtl/>
        </w:rPr>
        <w:t>: מקומוניזם לאינטגרצי</w:t>
      </w:r>
      <w:r w:rsidR="007F1001">
        <w:rPr>
          <w:rFonts w:hint="eastAsia"/>
          <w:b/>
          <w:bCs/>
          <w:sz w:val="32"/>
          <w:szCs w:val="32"/>
          <w:rtl/>
        </w:rPr>
        <w:t>ה</w:t>
      </w:r>
      <w:r w:rsidR="007F1001">
        <w:rPr>
          <w:rFonts w:hint="cs"/>
          <w:b/>
          <w:bCs/>
          <w:sz w:val="32"/>
          <w:szCs w:val="32"/>
          <w:rtl/>
        </w:rPr>
        <w:t xml:space="preserve"> אירופית</w:t>
      </w:r>
      <w:r>
        <w:rPr>
          <w:rFonts w:hint="cs"/>
          <w:b/>
          <w:bCs/>
          <w:i/>
          <w:iCs/>
          <w:sz w:val="36"/>
          <w:szCs w:val="36"/>
          <w:rtl/>
        </w:rPr>
        <w:t xml:space="preserve"> </w:t>
      </w:r>
    </w:p>
    <w:p w:rsidR="003710EB" w:rsidRDefault="003710EB" w:rsidP="003710EB">
      <w:pPr>
        <w:jc w:val="center"/>
        <w:rPr>
          <w:rFonts w:ascii="Arial" w:hAnsi="Arial" w:cs="Arial"/>
          <w:b/>
          <w:bCs/>
          <w:i/>
          <w:iCs/>
          <w:sz w:val="16"/>
          <w:szCs w:val="16"/>
          <w:rtl/>
        </w:rPr>
      </w:pPr>
    </w:p>
    <w:p w:rsidR="003710EB" w:rsidRDefault="003710EB" w:rsidP="003710E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>187-1-</w:t>
      </w:r>
      <w:r w:rsidR="00BA142D">
        <w:rPr>
          <w:rFonts w:ascii="Arial" w:hAnsi="Arial" w:cs="Arial" w:hint="cs"/>
          <w:b/>
          <w:bCs/>
          <w:rtl/>
        </w:rPr>
        <w:t>0-</w:t>
      </w:r>
      <w:r>
        <w:rPr>
          <w:rFonts w:ascii="Arial" w:hAnsi="Arial" w:cs="Arial"/>
          <w:b/>
          <w:bCs/>
          <w:rtl/>
        </w:rPr>
        <w:t>109</w:t>
      </w:r>
    </w:p>
    <w:p w:rsidR="003710EB" w:rsidRDefault="007F1001" w:rsidP="003710EB">
      <w:pPr>
        <w:jc w:val="center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2</w:t>
      </w:r>
      <w:r w:rsidR="003710EB">
        <w:rPr>
          <w:rFonts w:ascii="Arial" w:hAnsi="Arial" w:cs="Arial"/>
          <w:b/>
          <w:bCs/>
          <w:rtl/>
        </w:rPr>
        <w:t xml:space="preserve"> נקודות זכות</w:t>
      </w:r>
    </w:p>
    <w:p w:rsidR="003710EB" w:rsidRDefault="003710EB" w:rsidP="003710EB">
      <w:pPr>
        <w:jc w:val="center"/>
        <w:rPr>
          <w:rFonts w:ascii="Arial" w:hAnsi="Arial" w:cs="Arial"/>
          <w:b/>
          <w:bCs/>
          <w:rtl/>
          <w:lang w:val="en-GB"/>
        </w:rPr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b/>
          <w:bCs/>
          <w:i/>
          <w:iCs/>
        </w:rPr>
      </w:pPr>
    </w:p>
    <w:p w:rsidR="003710EB" w:rsidRDefault="003710EB" w:rsidP="007F1001">
      <w:pPr>
        <w:bidi w:val="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מרצה</w:t>
      </w:r>
      <w:r>
        <w:rPr>
          <w:rFonts w:ascii="Arial" w:hAnsi="Arial" w:cs="Arial"/>
          <w:rtl/>
        </w:rPr>
        <w:t>: אלמה ורדרי-קסלר                                                           יום א': 1</w:t>
      </w:r>
      <w:r w:rsidR="007F1001">
        <w:rPr>
          <w:rFonts w:ascii="Arial" w:hAnsi="Arial" w:cs="Arial" w:hint="cs"/>
          <w:rtl/>
        </w:rPr>
        <w:t>0</w:t>
      </w:r>
      <w:r>
        <w:rPr>
          <w:rFonts w:ascii="Arial" w:hAnsi="Arial" w:cs="Arial"/>
          <w:rtl/>
        </w:rPr>
        <w:t>:00-1</w:t>
      </w:r>
      <w:r w:rsidR="007F1001">
        <w:rPr>
          <w:rFonts w:ascii="Arial" w:hAnsi="Arial" w:cs="Arial" w:hint="cs"/>
          <w:rtl/>
        </w:rPr>
        <w:t>2</w:t>
      </w:r>
      <w:r>
        <w:rPr>
          <w:rFonts w:ascii="Arial" w:hAnsi="Arial" w:cs="Arial"/>
          <w:rtl/>
        </w:rPr>
        <w:t>:00</w:t>
      </w:r>
    </w:p>
    <w:p w:rsidR="003710EB" w:rsidRDefault="003710EB" w:rsidP="007F1001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דוא"ל: </w:t>
      </w:r>
      <w:r>
        <w:rPr>
          <w:rFonts w:ascii="Arial" w:hAnsi="Arial" w:cs="Arial"/>
        </w:rPr>
        <w:t>vardari@bgu.ac.il</w:t>
      </w:r>
      <w:r>
        <w:rPr>
          <w:rFonts w:ascii="Arial" w:hAnsi="Arial" w:cs="Arial"/>
          <w:rtl/>
        </w:rPr>
        <w:t xml:space="preserve">                                                       </w:t>
      </w:r>
      <w:r>
        <w:rPr>
          <w:rFonts w:ascii="Arial" w:hAnsi="Arial" w:cs="Arial"/>
        </w:rPr>
        <w:t xml:space="preserve"> </w:t>
      </w:r>
    </w:p>
    <w:p w:rsidR="003710EB" w:rsidRDefault="003710EB" w:rsidP="003710E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rtl/>
        </w:rPr>
        <w:t>שעות קבלה:</w:t>
      </w:r>
      <w:r>
        <w:rPr>
          <w:rFonts w:ascii="Arial" w:hAnsi="Arial" w:cs="Arial"/>
          <w:i/>
          <w:iCs/>
          <w:rtl/>
        </w:rPr>
        <w:t xml:space="preserve"> </w:t>
      </w:r>
      <w:r>
        <w:rPr>
          <w:rFonts w:ascii="Arial" w:hAnsi="Arial" w:cs="Arial"/>
          <w:rtl/>
        </w:rPr>
        <w:t>יום שלישי 15:00-16:00, בנין 74, חדר 450</w:t>
      </w:r>
    </w:p>
    <w:p w:rsidR="003710EB" w:rsidRDefault="003710EB" w:rsidP="003710E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rtl/>
        </w:rPr>
        <w:t>טלפון</w:t>
      </w:r>
      <w:r>
        <w:rPr>
          <w:rFonts w:ascii="Arial" w:hAnsi="Arial" w:cs="Arial"/>
          <w:rtl/>
        </w:rPr>
        <w:t xml:space="preserve"> משרד- 08-6477064</w:t>
      </w:r>
    </w:p>
    <w:p w:rsidR="003710EB" w:rsidRDefault="003710EB" w:rsidP="003710EB">
      <w:pPr>
        <w:jc w:val="both"/>
        <w:rPr>
          <w:rFonts w:ascii="Arial" w:hAnsi="Arial" w:cs="Arial"/>
          <w:rtl/>
        </w:rPr>
      </w:pPr>
    </w:p>
    <w:p w:rsidR="003710EB" w:rsidRDefault="003710EB" w:rsidP="003710EB">
      <w:pPr>
        <w:jc w:val="both"/>
        <w:rPr>
          <w:rFonts w:ascii="Arial" w:hAnsi="Arial" w:cs="Arial"/>
          <w:rtl/>
        </w:rPr>
      </w:pPr>
    </w:p>
    <w:p w:rsidR="003710EB" w:rsidRDefault="003710EB" w:rsidP="003710EB">
      <w:pPr>
        <w:pStyle w:val="4"/>
        <w:rPr>
          <w:rFonts w:ascii="Arial" w:hAnsi="Arial" w:cs="Arial"/>
          <w:b/>
          <w:bCs/>
          <w:i w:val="0"/>
          <w:iCs w:val="0"/>
          <w:rtl/>
          <w:lang w:val="en-US"/>
        </w:rPr>
      </w:pPr>
    </w:p>
    <w:p w:rsidR="003710EB" w:rsidRDefault="003710EB" w:rsidP="007F1001">
      <w:pPr>
        <w:pStyle w:val="4"/>
        <w:spacing w:line="360" w:lineRule="auto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b/>
          <w:bCs/>
          <w:i w:val="0"/>
          <w:iCs w:val="0"/>
          <w:rtl/>
          <w:lang w:val="en-US"/>
        </w:rPr>
        <w:t xml:space="preserve">מטרות הקורס: 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הבלקנים שבו למודעות העולם "בזכות" המלחמות אשר פקדו את האזור בסוף המאה ה-20. הקורס 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>מבנה תשתית להבנת ה</w:t>
      </w:r>
      <w:r>
        <w:rPr>
          <w:rFonts w:ascii="Arial" w:hAnsi="Arial" w:cs="Arial"/>
          <w:i w:val="0"/>
          <w:iCs w:val="0"/>
          <w:rtl/>
          <w:lang w:eastAsia="en-US"/>
        </w:rPr>
        <w:t>התהוות הלשונית והגיאו-פוליטית של המושג "בלקנים"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 כחלק מתהליך ייצור הידע באירופה.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כמו כן, הקורס 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יסקור את ההיסטוריה המודרנית עד לפירוקה של הפדרציה היוגוסלבית לשעבר.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תכניי הקורס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 xml:space="preserve"> מבוסס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ים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 xml:space="preserve"> על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ה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 xml:space="preserve">תפישה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ה</w:t>
      </w:r>
      <w:r w:rsidR="00645288">
        <w:rPr>
          <w:rFonts w:ascii="Arial" w:hAnsi="Arial" w:cs="Arial" w:hint="cs"/>
          <w:i w:val="0"/>
          <w:iCs w:val="0"/>
          <w:rtl/>
          <w:lang w:eastAsia="en-US"/>
        </w:rPr>
        <w:t>רב-תחומית ו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לכן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 הבנת התהליכים </w:t>
      </w:r>
      <w:r w:rsidR="007F1001">
        <w:rPr>
          <w:rFonts w:ascii="Arial" w:hAnsi="Arial" w:cs="Arial" w:hint="cs"/>
          <w:i w:val="0"/>
          <w:iCs w:val="0"/>
          <w:rtl/>
          <w:lang w:eastAsia="en-US"/>
        </w:rPr>
        <w:t>לעומקם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 תעשה דרך</w:t>
      </w:r>
      <w:r w:rsidR="008D2F9D">
        <w:rPr>
          <w:rFonts w:ascii="Arial" w:hAnsi="Arial" w:cs="Arial" w:hint="cs"/>
          <w:i w:val="0"/>
          <w:iCs w:val="0"/>
          <w:rtl/>
          <w:lang w:eastAsia="en-US"/>
        </w:rPr>
        <w:t xml:space="preserve"> חקר מפות, מנהיגים,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 טקסטים פוליטיים, </w:t>
      </w:r>
      <w:r w:rsidR="008D2F9D">
        <w:rPr>
          <w:rFonts w:ascii="Arial" w:hAnsi="Arial" w:cs="Arial" w:hint="cs"/>
          <w:i w:val="0"/>
          <w:iCs w:val="0"/>
          <w:rtl/>
          <w:lang w:eastAsia="en-US"/>
        </w:rPr>
        <w:t xml:space="preserve">חיבורים 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>ספרותיים, סרטים, מפגשים עם שגרירים ו</w:t>
      </w:r>
      <w:r w:rsidR="00986970">
        <w:rPr>
          <w:rFonts w:ascii="Arial" w:hAnsi="Arial" w:cs="Arial" w:hint="cs"/>
          <w:i w:val="0"/>
          <w:iCs w:val="0"/>
          <w:rtl/>
          <w:lang w:eastAsia="en-US"/>
        </w:rPr>
        <w:t>עוד</w:t>
      </w:r>
      <w:r w:rsidR="008448F0">
        <w:rPr>
          <w:rFonts w:ascii="Arial" w:hAnsi="Arial" w:cs="Arial" w:hint="cs"/>
          <w:i w:val="0"/>
          <w:iCs w:val="0"/>
          <w:rtl/>
          <w:lang w:eastAsia="en-US"/>
        </w:rPr>
        <w:t xml:space="preserve">. בנוסף, הקורס </w:t>
      </w:r>
      <w:r>
        <w:rPr>
          <w:rFonts w:ascii="Arial" w:hAnsi="Arial" w:cs="Arial"/>
          <w:i w:val="0"/>
          <w:iCs w:val="0"/>
          <w:rtl/>
          <w:lang w:eastAsia="en-US"/>
        </w:rPr>
        <w:t>יתחק</w:t>
      </w:r>
      <w:r w:rsidR="007F1001">
        <w:rPr>
          <w:rFonts w:ascii="Arial" w:hAnsi="Arial" w:cs="Arial" w:hint="cs"/>
          <w:i w:val="0"/>
          <w:iCs w:val="0"/>
          <w:rtl/>
          <w:lang w:eastAsia="en-US"/>
        </w:rPr>
        <w:t>ה</w:t>
      </w:r>
      <w:r>
        <w:rPr>
          <w:rFonts w:ascii="Arial" w:hAnsi="Arial" w:cs="Arial"/>
          <w:i w:val="0"/>
          <w:iCs w:val="0"/>
          <w:rtl/>
          <w:lang w:eastAsia="en-US"/>
        </w:rPr>
        <w:t xml:space="preserve"> אחר ההתפתחויות הפוליטיות והחברתיות אשר השפיעו על המדינות השונות באזור</w:t>
      </w:r>
      <w:r>
        <w:rPr>
          <w:rFonts w:ascii="Arial" w:hAnsi="Arial" w:cs="Arial"/>
          <w:i w:val="0"/>
          <w:iCs w:val="0"/>
          <w:lang w:eastAsia="en-US"/>
        </w:rPr>
        <w:t xml:space="preserve"> </w:t>
      </w:r>
      <w:r>
        <w:rPr>
          <w:rFonts w:ascii="Arial" w:hAnsi="Arial" w:cs="Arial" w:hint="cs"/>
          <w:i w:val="0"/>
          <w:iCs w:val="0"/>
          <w:rtl/>
          <w:lang w:eastAsia="en-US"/>
        </w:rPr>
        <w:t>ועצבו את חברות</w:t>
      </w:r>
      <w:r w:rsidR="007F1001">
        <w:rPr>
          <w:rFonts w:ascii="Arial" w:hAnsi="Arial" w:cs="Arial" w:hint="cs"/>
          <w:i w:val="0"/>
          <w:iCs w:val="0"/>
          <w:rtl/>
          <w:lang w:eastAsia="en-US"/>
        </w:rPr>
        <w:t>יהן</w:t>
      </w:r>
      <w:r>
        <w:rPr>
          <w:rFonts w:ascii="Arial" w:hAnsi="Arial" w:cs="Arial" w:hint="cs"/>
          <w:i w:val="0"/>
          <w:iCs w:val="0"/>
          <w:rtl/>
          <w:lang w:eastAsia="en-US"/>
        </w:rPr>
        <w:t xml:space="preserve"> </w:t>
      </w:r>
      <w:r>
        <w:rPr>
          <w:rFonts w:ascii="Arial" w:hAnsi="Arial" w:cs="Arial"/>
          <w:i w:val="0"/>
          <w:iCs w:val="0"/>
          <w:rtl/>
          <w:lang w:eastAsia="en-US"/>
        </w:rPr>
        <w:t>לקראת סוף המאה ה-20</w:t>
      </w:r>
      <w:r>
        <w:rPr>
          <w:rFonts w:ascii="Arial" w:hAnsi="Arial" w:cs="Arial"/>
          <w:i w:val="0"/>
          <w:iCs w:val="0"/>
          <w:rtl/>
        </w:rPr>
        <w:t>.</w:t>
      </w:r>
      <w:r>
        <w:rPr>
          <w:rFonts w:ascii="Arial" w:hAnsi="Arial" w:cs="Arial" w:hint="cs"/>
          <w:i w:val="0"/>
          <w:iCs w:val="0"/>
          <w:rtl/>
        </w:rPr>
        <w:t xml:space="preserve"> הקורס שואף לחזק את ההבנה התיאורטית של תופעות סוציו-פוליטיות כמו קומוניזם, לאומיות, דמוקרטיזציה, אינטגרציה אירופית, יחד עם </w:t>
      </w:r>
      <w:r w:rsidR="00645288">
        <w:rPr>
          <w:rFonts w:ascii="Arial" w:hAnsi="Arial" w:cs="Arial" w:hint="cs"/>
          <w:i w:val="0"/>
          <w:iCs w:val="0"/>
          <w:rtl/>
        </w:rPr>
        <w:t>חקר</w:t>
      </w:r>
      <w:r>
        <w:rPr>
          <w:rFonts w:ascii="Arial" w:hAnsi="Arial" w:cs="Arial" w:hint="cs"/>
          <w:i w:val="0"/>
          <w:iCs w:val="0"/>
          <w:rtl/>
        </w:rPr>
        <w:t xml:space="preserve"> מושגים כגון: טיהור-אתני, רצח עם, אורביסייד, צדק </w:t>
      </w:r>
      <w:r w:rsidR="00645288">
        <w:rPr>
          <w:rFonts w:ascii="Arial" w:hAnsi="Arial" w:cs="Arial" w:hint="cs"/>
          <w:i w:val="0"/>
          <w:iCs w:val="0"/>
          <w:rtl/>
        </w:rPr>
        <w:t xml:space="preserve">בינלאומי </w:t>
      </w:r>
      <w:r w:rsidR="008448F0">
        <w:rPr>
          <w:rFonts w:ascii="Arial" w:hAnsi="Arial" w:cs="Arial" w:hint="cs"/>
          <w:i w:val="0"/>
          <w:iCs w:val="0"/>
          <w:rtl/>
        </w:rPr>
        <w:t>ועוד,</w:t>
      </w:r>
      <w:r>
        <w:rPr>
          <w:rFonts w:ascii="Arial" w:hAnsi="Arial" w:cs="Arial" w:hint="cs"/>
          <w:i w:val="0"/>
          <w:iCs w:val="0"/>
          <w:rtl/>
        </w:rPr>
        <w:t xml:space="preserve"> </w:t>
      </w:r>
      <w:r w:rsidR="00645288">
        <w:rPr>
          <w:rFonts w:ascii="Arial" w:hAnsi="Arial" w:cs="Arial" w:hint="cs"/>
          <w:i w:val="0"/>
          <w:iCs w:val="0"/>
          <w:rtl/>
        </w:rPr>
        <w:t>תוך כדי מודעות להקשרים ההיסטוריים, הפוליטיים והחברתיים, היוצרים עולם סימבול</w:t>
      </w:r>
      <w:r w:rsidR="00645288">
        <w:rPr>
          <w:rFonts w:ascii="Arial" w:hAnsi="Arial" w:cs="Arial" w:hint="eastAsia"/>
          <w:i w:val="0"/>
          <w:iCs w:val="0"/>
          <w:rtl/>
        </w:rPr>
        <w:t>י</w:t>
      </w:r>
      <w:r w:rsidR="00645288">
        <w:rPr>
          <w:rFonts w:ascii="Arial" w:hAnsi="Arial" w:cs="Arial" w:hint="cs"/>
          <w:i w:val="0"/>
          <w:iCs w:val="0"/>
          <w:rtl/>
        </w:rPr>
        <w:t xml:space="preserve"> ומרחב משמעויות ייחודי ל</w:t>
      </w:r>
      <w:r w:rsidR="00986970">
        <w:rPr>
          <w:rFonts w:ascii="Arial" w:hAnsi="Arial" w:cs="Arial" w:hint="cs"/>
          <w:i w:val="0"/>
          <w:iCs w:val="0"/>
          <w:rtl/>
        </w:rPr>
        <w:t>אזור במאה ה-21.</w:t>
      </w:r>
      <w:r w:rsidR="00645288">
        <w:rPr>
          <w:rFonts w:ascii="Arial" w:hAnsi="Arial" w:cs="Arial" w:hint="cs"/>
          <w:i w:val="0"/>
          <w:iCs w:val="0"/>
          <w:rtl/>
        </w:rPr>
        <w:t xml:space="preserve">   </w:t>
      </w:r>
    </w:p>
    <w:p w:rsidR="003710EB" w:rsidRDefault="003710EB" w:rsidP="003710EB">
      <w:pPr>
        <w:rPr>
          <w:rFonts w:ascii="Arial" w:hAnsi="Arial" w:cs="Arial"/>
          <w:rtl/>
          <w:lang w:val="en-GB" w:eastAsia="he-IL"/>
        </w:rPr>
      </w:pP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b/>
          <w:bCs/>
          <w:i w:val="0"/>
          <w:iCs w:val="0"/>
          <w:rtl/>
        </w:rPr>
        <w:lastRenderedPageBreak/>
        <w:t>הרכב הציון:</w:t>
      </w:r>
      <w:r>
        <w:rPr>
          <w:rFonts w:ascii="Arial" w:hAnsi="Arial" w:cs="Arial"/>
          <w:i w:val="0"/>
          <w:iCs w:val="0"/>
          <w:rtl/>
        </w:rPr>
        <w:t xml:space="preserve"> </w:t>
      </w: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i w:val="0"/>
          <w:iCs w:val="0"/>
          <w:rtl/>
        </w:rPr>
        <w:t xml:space="preserve">נוכחות והשתתפות -  10% </w:t>
      </w:r>
    </w:p>
    <w:p w:rsidR="003710EB" w:rsidRDefault="00986970" w:rsidP="00986970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 w:hint="cs"/>
          <w:i w:val="0"/>
          <w:iCs w:val="0"/>
          <w:rtl/>
        </w:rPr>
        <w:t>חיבור "הרה והגה"</w:t>
      </w:r>
      <w:r w:rsidR="003710EB">
        <w:rPr>
          <w:rFonts w:ascii="Arial" w:hAnsi="Arial" w:cs="Arial"/>
          <w:i w:val="0"/>
          <w:iCs w:val="0"/>
          <w:rtl/>
        </w:rPr>
        <w:t xml:space="preserve"> - 20%</w:t>
      </w: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</w:rPr>
      </w:pPr>
      <w:r>
        <w:rPr>
          <w:rFonts w:ascii="Arial" w:hAnsi="Arial" w:cs="Arial"/>
          <w:i w:val="0"/>
          <w:iCs w:val="0"/>
          <w:rtl/>
        </w:rPr>
        <w:t>תרגיל-בוחן "מי, מתי ואיפה?" - 30%</w:t>
      </w:r>
    </w:p>
    <w:p w:rsidR="003710EB" w:rsidRDefault="003710EB" w:rsidP="003710EB">
      <w:pPr>
        <w:pStyle w:val="4"/>
        <w:rPr>
          <w:rFonts w:ascii="Arial" w:hAnsi="Arial" w:cs="Arial"/>
          <w:i w:val="0"/>
          <w:iCs w:val="0"/>
          <w:rtl/>
          <w:lang w:val="en-US"/>
        </w:rPr>
      </w:pPr>
      <w:r>
        <w:rPr>
          <w:rFonts w:ascii="Arial" w:hAnsi="Arial" w:cs="Arial"/>
          <w:i w:val="0"/>
          <w:iCs w:val="0"/>
          <w:rtl/>
        </w:rPr>
        <w:t>עבודה מסכמת - 40%</w:t>
      </w:r>
      <w:r>
        <w:rPr>
          <w:rFonts w:ascii="Arial" w:hAnsi="Arial" w:cs="Arial"/>
          <w:i w:val="0"/>
          <w:iCs w:val="0"/>
          <w:rtl/>
        </w:rPr>
        <w:tab/>
      </w:r>
    </w:p>
    <w:p w:rsidR="003710EB" w:rsidRDefault="003710EB" w:rsidP="003710EB">
      <w:pPr>
        <w:jc w:val="both"/>
        <w:rPr>
          <w:rFonts w:ascii="Arial" w:hAnsi="Arial" w:cs="Arial"/>
          <w:i/>
          <w:iCs/>
          <w:rtl/>
        </w:rPr>
      </w:pPr>
    </w:p>
    <w:p w:rsidR="003710EB" w:rsidRDefault="003710EB" w:rsidP="003710EB">
      <w:pPr>
        <w:jc w:val="both"/>
        <w:rPr>
          <w:rFonts w:ascii="Arial" w:hAnsi="Arial" w:cs="Arial"/>
          <w:i/>
          <w:iCs/>
          <w:rtl/>
        </w:rPr>
      </w:pPr>
    </w:p>
    <w:p w:rsidR="003710EB" w:rsidRDefault="003710EB" w:rsidP="003710EB">
      <w:pPr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/>
          <w:b/>
          <w:bCs/>
          <w:rtl/>
        </w:rPr>
        <w:t>דרישות הקורס:</w:t>
      </w:r>
      <w:r>
        <w:rPr>
          <w:rFonts w:ascii="Arial" w:hAnsi="Arial" w:cs="Arial"/>
          <w:i/>
          <w:iCs/>
          <w:rtl/>
        </w:rPr>
        <w:t xml:space="preserve"> </w:t>
      </w:r>
    </w:p>
    <w:p w:rsidR="003710EB" w:rsidRDefault="003710EB" w:rsidP="003710EB">
      <w:pPr>
        <w:spacing w:line="360" w:lineRule="auto"/>
        <w:jc w:val="both"/>
        <w:rPr>
          <w:rFonts w:ascii="Arial" w:hAnsi="Arial" w:cs="Arial"/>
          <w:u w:val="single"/>
          <w:rtl/>
        </w:rPr>
      </w:pPr>
    </w:p>
    <w:p w:rsidR="003710EB" w:rsidRDefault="003710EB" w:rsidP="003710EB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נוכחות והשתתפות:</w:t>
      </w:r>
      <w:r>
        <w:rPr>
          <w:rFonts w:ascii="Arial" w:hAnsi="Arial" w:cs="Arial"/>
          <w:rtl/>
        </w:rPr>
        <w:t xml:space="preserve"> משתתפי הקורס נדרשים להיות נוכחים </w:t>
      </w:r>
      <w:r>
        <w:rPr>
          <w:rFonts w:ascii="Arial" w:hAnsi="Arial" w:cs="Arial"/>
          <w:b/>
          <w:bCs/>
          <w:rtl/>
        </w:rPr>
        <w:t>בלפחות 80% מההרצאות</w:t>
      </w:r>
      <w:r>
        <w:rPr>
          <w:rFonts w:ascii="Arial" w:hAnsi="Arial" w:cs="Arial"/>
          <w:rtl/>
        </w:rPr>
        <w:t xml:space="preserve"> שתתקיימנה במהלך הסמסטר וכמו כן לקחת חלק בדיונים שיתפתחו בכיתה. קריאה שוטפת של המאמרים ויתר החומרים עשויים לתרום רבות להשתתפותכם הערה והמועילה. </w:t>
      </w:r>
    </w:p>
    <w:p w:rsidR="00193386" w:rsidRDefault="00193386" w:rsidP="003710EB">
      <w:pPr>
        <w:spacing w:line="360" w:lineRule="auto"/>
        <w:jc w:val="both"/>
        <w:rPr>
          <w:rFonts w:ascii="Arial" w:hAnsi="Arial" w:cs="Arial"/>
          <w:rtl/>
        </w:rPr>
      </w:pPr>
    </w:p>
    <w:p w:rsidR="003710EB" w:rsidRDefault="00193386" w:rsidP="007D174C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u w:val="single"/>
          <w:rtl/>
        </w:rPr>
        <w:t>חיבור "הרה והגה"</w:t>
      </w:r>
      <w:r w:rsidR="003710EB">
        <w:rPr>
          <w:rFonts w:ascii="Arial" w:hAnsi="Arial" w:cs="Arial"/>
          <w:u w:val="single"/>
          <w:rtl/>
        </w:rPr>
        <w:t>:</w:t>
      </w:r>
      <w:r w:rsidR="003710EB">
        <w:rPr>
          <w:rFonts w:ascii="Arial" w:hAnsi="Arial" w:cs="Arial"/>
          <w:rtl/>
        </w:rPr>
        <w:t xml:space="preserve"> יש להגיש </w:t>
      </w:r>
      <w:r w:rsidR="00986970" w:rsidRPr="00986970">
        <w:rPr>
          <w:rFonts w:ascii="Arial" w:hAnsi="Arial" w:cs="Arial" w:hint="cs"/>
          <w:b/>
          <w:bCs/>
          <w:rtl/>
        </w:rPr>
        <w:t>חיבור "הרה והגה"</w:t>
      </w:r>
      <w:r w:rsidR="00986970">
        <w:rPr>
          <w:rFonts w:ascii="Arial" w:hAnsi="Arial" w:cs="Arial" w:hint="cs"/>
          <w:rtl/>
        </w:rPr>
        <w:t xml:space="preserve"> </w:t>
      </w:r>
      <w:r w:rsidR="003710EB">
        <w:rPr>
          <w:rFonts w:ascii="Arial" w:hAnsi="Arial" w:cs="Arial"/>
          <w:rtl/>
        </w:rPr>
        <w:t>במהלך הקורס, על חומרי הקריאה</w:t>
      </w:r>
      <w:r w:rsidR="00986970">
        <w:rPr>
          <w:rFonts w:ascii="Arial" w:hAnsi="Arial" w:cs="Arial" w:hint="cs"/>
          <w:rtl/>
        </w:rPr>
        <w:t>, הסרטים והמפגשי</w:t>
      </w:r>
      <w:r w:rsidR="00986970">
        <w:rPr>
          <w:rFonts w:ascii="Arial" w:hAnsi="Arial" w:cs="Arial" w:hint="eastAsia"/>
          <w:rtl/>
        </w:rPr>
        <w:t>ם</w:t>
      </w:r>
      <w:r w:rsidR="003710EB">
        <w:rPr>
          <w:rFonts w:ascii="Arial" w:hAnsi="Arial" w:cs="Arial"/>
          <w:rtl/>
        </w:rPr>
        <w:t xml:space="preserve"> </w:t>
      </w:r>
      <w:r w:rsidR="00986970">
        <w:rPr>
          <w:rFonts w:ascii="Arial" w:hAnsi="Arial" w:cs="Arial" w:hint="cs"/>
          <w:rtl/>
        </w:rPr>
        <w:t>ש</w:t>
      </w:r>
      <w:r w:rsidR="003710EB">
        <w:rPr>
          <w:rFonts w:ascii="Arial" w:hAnsi="Arial" w:cs="Arial"/>
          <w:rtl/>
        </w:rPr>
        <w:t>במהלך ההרצאות. על הסטודנט לבחור את המועד ואת המאמר אליו יתייחס ה</w:t>
      </w:r>
      <w:r w:rsidR="007D174C">
        <w:rPr>
          <w:rFonts w:ascii="Arial" w:hAnsi="Arial" w:cs="Arial" w:hint="cs"/>
          <w:rtl/>
        </w:rPr>
        <w:t>חיבור</w:t>
      </w:r>
      <w:r w:rsidR="003710EB">
        <w:rPr>
          <w:rFonts w:ascii="Arial" w:hAnsi="Arial" w:cs="Arial"/>
          <w:rtl/>
        </w:rPr>
        <w:t>. רק ציון עובר של ה</w:t>
      </w:r>
      <w:r w:rsidR="007D174C">
        <w:rPr>
          <w:rFonts w:ascii="Arial" w:hAnsi="Arial" w:cs="Arial" w:hint="cs"/>
          <w:rtl/>
        </w:rPr>
        <w:t>חיבור</w:t>
      </w:r>
      <w:r w:rsidR="003710EB">
        <w:rPr>
          <w:rFonts w:ascii="Arial" w:hAnsi="Arial" w:cs="Arial"/>
          <w:rtl/>
        </w:rPr>
        <w:t xml:space="preserve"> יזכה את הסטודנט/ית ב-20% מכלל הציון הסופי בקורס</w:t>
      </w:r>
      <w:r w:rsidR="007F1001">
        <w:rPr>
          <w:rFonts w:ascii="Arial" w:hAnsi="Arial" w:cs="Arial" w:hint="cs"/>
          <w:rtl/>
        </w:rPr>
        <w:t>. הסבר מפורט יינת</w:t>
      </w:r>
      <w:r w:rsidR="007F1001">
        <w:rPr>
          <w:rFonts w:ascii="Arial" w:hAnsi="Arial" w:cs="Arial" w:hint="eastAsia"/>
          <w:rtl/>
        </w:rPr>
        <w:t>ן</w:t>
      </w:r>
      <w:r w:rsidR="007F1001">
        <w:rPr>
          <w:rFonts w:ascii="Arial" w:hAnsi="Arial" w:cs="Arial" w:hint="cs"/>
          <w:rtl/>
        </w:rPr>
        <w:t xml:space="preserve"> בשיעור הראשון.</w:t>
      </w:r>
      <w:r w:rsidR="003710EB">
        <w:rPr>
          <w:rFonts w:ascii="Arial" w:hAnsi="Arial" w:cs="Arial"/>
          <w:rtl/>
        </w:rPr>
        <w:t xml:space="preserve"> </w:t>
      </w:r>
    </w:p>
    <w:p w:rsidR="003710EB" w:rsidRPr="00193386" w:rsidRDefault="003710EB" w:rsidP="00193386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193386">
        <w:rPr>
          <w:rFonts w:ascii="Arial" w:hAnsi="Arial" w:cs="Arial"/>
          <w:sz w:val="20"/>
          <w:szCs w:val="20"/>
          <w:rtl/>
        </w:rPr>
        <w:t>* כללים מנחים לכתיבת ה</w:t>
      </w:r>
      <w:r w:rsidR="00193386" w:rsidRPr="00193386">
        <w:rPr>
          <w:rFonts w:ascii="Arial" w:hAnsi="Arial" w:cs="Arial" w:hint="cs"/>
          <w:sz w:val="20"/>
          <w:szCs w:val="20"/>
          <w:rtl/>
        </w:rPr>
        <w:t>חיבור</w:t>
      </w:r>
      <w:r w:rsidRPr="00193386">
        <w:rPr>
          <w:rFonts w:ascii="Arial" w:hAnsi="Arial" w:cs="Arial"/>
          <w:sz w:val="20"/>
          <w:szCs w:val="20"/>
          <w:rtl/>
        </w:rPr>
        <w:t>: אור</w:t>
      </w:r>
      <w:r w:rsidR="00193386" w:rsidRPr="00193386">
        <w:rPr>
          <w:rFonts w:ascii="Arial" w:hAnsi="Arial" w:cs="Arial" w:hint="cs"/>
          <w:sz w:val="20"/>
          <w:szCs w:val="20"/>
          <w:rtl/>
        </w:rPr>
        <w:t>כו</w:t>
      </w:r>
      <w:r w:rsidRPr="00193386">
        <w:rPr>
          <w:rFonts w:ascii="Arial" w:hAnsi="Arial" w:cs="Arial"/>
          <w:sz w:val="20"/>
          <w:szCs w:val="20"/>
          <w:rtl/>
        </w:rPr>
        <w:t xml:space="preserve"> לא יעלה על </w:t>
      </w:r>
      <w:r w:rsidR="00193386" w:rsidRPr="00193386">
        <w:rPr>
          <w:rFonts w:ascii="Arial" w:hAnsi="Arial" w:cs="Arial" w:hint="cs"/>
          <w:sz w:val="20"/>
          <w:szCs w:val="20"/>
          <w:rtl/>
        </w:rPr>
        <w:t xml:space="preserve">שני </w:t>
      </w:r>
      <w:r w:rsidRPr="00193386">
        <w:rPr>
          <w:rFonts w:ascii="Arial" w:hAnsi="Arial" w:cs="Arial"/>
          <w:sz w:val="20"/>
          <w:szCs w:val="20"/>
          <w:rtl/>
        </w:rPr>
        <w:t>עמוד</w:t>
      </w:r>
      <w:r w:rsidR="00193386" w:rsidRPr="00193386">
        <w:rPr>
          <w:rFonts w:ascii="Arial" w:hAnsi="Arial" w:cs="Arial" w:hint="cs"/>
          <w:sz w:val="20"/>
          <w:szCs w:val="20"/>
          <w:rtl/>
        </w:rPr>
        <w:t>ים</w:t>
      </w:r>
      <w:r w:rsidRPr="00193386">
        <w:rPr>
          <w:rFonts w:ascii="Arial" w:hAnsi="Arial" w:cs="Arial"/>
          <w:sz w:val="20"/>
          <w:szCs w:val="20"/>
          <w:rtl/>
        </w:rPr>
        <w:t>, מודפס בכתב דויד, גודל 12, רווח שורה וחצי ושוליים מספיקים להערות. יש להגיש את ה</w:t>
      </w:r>
      <w:r w:rsidR="00193386" w:rsidRPr="00193386">
        <w:rPr>
          <w:rFonts w:ascii="Arial" w:hAnsi="Arial" w:cs="Arial" w:hint="cs"/>
          <w:sz w:val="20"/>
          <w:szCs w:val="20"/>
          <w:rtl/>
        </w:rPr>
        <w:t>חיבור</w:t>
      </w:r>
      <w:r w:rsidRPr="00193386">
        <w:rPr>
          <w:rFonts w:ascii="Arial" w:hAnsi="Arial" w:cs="Arial"/>
          <w:sz w:val="20"/>
          <w:szCs w:val="20"/>
          <w:rtl/>
        </w:rPr>
        <w:t xml:space="preserve"> לתא של המרצה עד תחילת השיעור בו נדון על המאמר אותו מנתח ה</w:t>
      </w:r>
      <w:r w:rsidR="00193386" w:rsidRPr="00193386">
        <w:rPr>
          <w:rFonts w:ascii="Arial" w:hAnsi="Arial" w:cs="Arial" w:hint="cs"/>
          <w:sz w:val="20"/>
          <w:szCs w:val="20"/>
          <w:rtl/>
        </w:rPr>
        <w:t>חיבור</w:t>
      </w:r>
      <w:r w:rsidRPr="00193386">
        <w:rPr>
          <w:rFonts w:ascii="Arial" w:hAnsi="Arial" w:cs="Arial"/>
          <w:sz w:val="20"/>
          <w:szCs w:val="20"/>
          <w:rtl/>
        </w:rPr>
        <w:t>. נא להגיש ללא קלסרים / שקיות וכו'. נא להקפיד על ניסוחים נהירים ורהוטים.</w:t>
      </w:r>
    </w:p>
    <w:p w:rsidR="003710EB" w:rsidRDefault="003710EB" w:rsidP="003710EB">
      <w:pPr>
        <w:spacing w:line="360" w:lineRule="auto"/>
        <w:jc w:val="both"/>
        <w:rPr>
          <w:rFonts w:ascii="Arial" w:hAnsi="Arial" w:cs="Arial"/>
          <w:rtl/>
        </w:rPr>
      </w:pPr>
    </w:p>
    <w:p w:rsidR="003710EB" w:rsidRDefault="003710EB" w:rsidP="001C1026">
      <w:pPr>
        <w:spacing w:line="360" w:lineRule="auto"/>
        <w:jc w:val="both"/>
        <w:rPr>
          <w:rFonts w:ascii="Arial" w:hAnsi="Arial" w:cs="Arial"/>
          <w:rtl/>
        </w:rPr>
      </w:pPr>
      <w:r>
        <w:rPr>
          <w:rFonts w:ascii="Arial" w:hAnsi="Arial" w:cs="Arial"/>
          <w:u w:val="single"/>
          <w:rtl/>
        </w:rPr>
        <w:t>תרגיל-בוחן</w:t>
      </w:r>
      <w:r>
        <w:rPr>
          <w:rFonts w:ascii="Arial" w:hAnsi="Arial" w:cs="Arial"/>
          <w:b/>
          <w:bCs/>
          <w:u w:val="single"/>
          <w:rtl/>
        </w:rPr>
        <w:t xml:space="preserve"> </w:t>
      </w:r>
      <w:r>
        <w:rPr>
          <w:rFonts w:ascii="Arial" w:hAnsi="Arial" w:cs="Arial"/>
          <w:u w:val="single"/>
          <w:rtl/>
        </w:rPr>
        <w:t>"מי, מתי ואיפה?":</w:t>
      </w:r>
      <w:r>
        <w:rPr>
          <w:rFonts w:ascii="Arial" w:hAnsi="Arial" w:cs="Arial"/>
          <w:rtl/>
        </w:rPr>
        <w:t xml:space="preserve"> מטרתו היא ל</w:t>
      </w:r>
      <w:r w:rsidR="007D174C">
        <w:rPr>
          <w:rFonts w:ascii="Arial" w:hAnsi="Arial" w:cs="Arial" w:hint="cs"/>
          <w:rtl/>
        </w:rPr>
        <w:t>בחון את הידע</w:t>
      </w:r>
      <w:r w:rsidR="00E94329">
        <w:rPr>
          <w:rFonts w:ascii="Arial" w:hAnsi="Arial" w:cs="Arial" w:hint="cs"/>
          <w:rtl/>
        </w:rPr>
        <w:t xml:space="preserve"> הנלמד</w:t>
      </w:r>
      <w:r>
        <w:rPr>
          <w:rFonts w:ascii="Arial" w:hAnsi="Arial" w:cs="Arial"/>
          <w:rtl/>
        </w:rPr>
        <w:t xml:space="preserve"> בנוגע לגיאוגרפיה של האזור, אישיות מרכזיות ו</w:t>
      </w:r>
      <w:r w:rsidR="001C1026">
        <w:rPr>
          <w:rFonts w:ascii="Arial" w:hAnsi="Arial" w:cs="Arial" w:hint="cs"/>
          <w:rtl/>
        </w:rPr>
        <w:t>אירועי מפתח</w:t>
      </w:r>
      <w:r>
        <w:rPr>
          <w:rFonts w:ascii="Arial" w:hAnsi="Arial" w:cs="Arial"/>
          <w:rtl/>
        </w:rPr>
        <w:t xml:space="preserve"> בהיסטוריה של מדינות הבלקן. </w:t>
      </w:r>
      <w:r>
        <w:rPr>
          <w:rFonts w:ascii="Arial" w:hAnsi="Arial" w:cs="Arial"/>
          <w:b/>
          <w:bCs/>
          <w:rtl/>
        </w:rPr>
        <w:t xml:space="preserve">הבוחן הוא אישי ויתבצע בכיתה </w:t>
      </w:r>
      <w:r w:rsidR="007D174C">
        <w:rPr>
          <w:rFonts w:ascii="Arial" w:hAnsi="Arial" w:cs="Arial" w:hint="cs"/>
          <w:b/>
          <w:bCs/>
          <w:rtl/>
        </w:rPr>
        <w:t xml:space="preserve">לקראת </w:t>
      </w:r>
      <w:r w:rsidR="00E94329">
        <w:rPr>
          <w:rFonts w:ascii="Arial" w:hAnsi="Arial" w:cs="Arial" w:hint="cs"/>
          <w:b/>
          <w:bCs/>
          <w:rtl/>
        </w:rPr>
        <w:t>סוף</w:t>
      </w:r>
      <w:r w:rsidR="007D174C">
        <w:rPr>
          <w:rFonts w:ascii="Arial" w:hAnsi="Arial" w:cs="Arial" w:hint="cs"/>
          <w:b/>
          <w:bCs/>
          <w:rtl/>
        </w:rPr>
        <w:t xml:space="preserve"> הסמסטר</w:t>
      </w:r>
      <w:r>
        <w:rPr>
          <w:rFonts w:ascii="Arial" w:hAnsi="Arial" w:cs="Arial"/>
          <w:rtl/>
        </w:rPr>
        <w:t xml:space="preserve">. רק ציון עובר של התרגיל-בוחן יזכה את הסטודנט/ית ב-30% מכלל הציון הסופי בקורס. </w:t>
      </w:r>
    </w:p>
    <w:p w:rsidR="003710EB" w:rsidRDefault="003710EB" w:rsidP="003710EB">
      <w:pPr>
        <w:spacing w:line="360" w:lineRule="auto"/>
        <w:jc w:val="both"/>
        <w:rPr>
          <w:rFonts w:ascii="Arial" w:hAnsi="Arial" w:cs="Arial"/>
          <w:u w:val="single"/>
          <w:rtl/>
          <w:lang w:val="en-GB"/>
        </w:rPr>
      </w:pPr>
    </w:p>
    <w:p w:rsidR="003710EB" w:rsidRDefault="003710EB" w:rsidP="001C1026">
      <w:pPr>
        <w:spacing w:line="360" w:lineRule="auto"/>
        <w:jc w:val="both"/>
        <w:rPr>
          <w:rtl/>
        </w:rPr>
      </w:pPr>
      <w:r>
        <w:rPr>
          <w:rFonts w:ascii="Arial" w:hAnsi="Arial" w:cs="Arial"/>
          <w:u w:val="single"/>
          <w:rtl/>
          <w:lang w:val="en-GB"/>
        </w:rPr>
        <w:t>עבודה מסכמת</w:t>
      </w:r>
      <w:r>
        <w:rPr>
          <w:rFonts w:ascii="Arial" w:hAnsi="Arial" w:cs="Arial"/>
          <w:rtl/>
          <w:lang w:val="en-GB"/>
        </w:rPr>
        <w:t xml:space="preserve">: עבודה זו תתקיים בסיום הקורס תבחן את כל החומרים אשר נלמדו במהלך ההרצאות. </w:t>
      </w:r>
      <w:r>
        <w:rPr>
          <w:rFonts w:ascii="Arial" w:hAnsi="Arial" w:cs="Arial"/>
          <w:rtl/>
        </w:rPr>
        <w:t>תאריך ההגשה  ו</w:t>
      </w:r>
      <w:r>
        <w:rPr>
          <w:rFonts w:ascii="Arial" w:hAnsi="Arial" w:cs="Arial"/>
          <w:rtl/>
          <w:lang w:val="en-GB"/>
        </w:rPr>
        <w:t>הסברים על מבנה העבודה המסכמת י</w:t>
      </w:r>
      <w:r w:rsidR="001C1026">
        <w:rPr>
          <w:rFonts w:ascii="Arial" w:hAnsi="Arial" w:cs="Arial" w:hint="cs"/>
          <w:rtl/>
          <w:lang w:val="en-GB"/>
        </w:rPr>
        <w:t>ינתנו</w:t>
      </w:r>
      <w:r>
        <w:rPr>
          <w:rFonts w:ascii="Arial" w:hAnsi="Arial" w:cs="Arial"/>
          <w:rtl/>
          <w:lang w:val="en-GB"/>
        </w:rPr>
        <w:t xml:space="preserve"> בהמשך. </w:t>
      </w:r>
      <w:r>
        <w:rPr>
          <w:rFonts w:ascii="Arial" w:hAnsi="Arial" w:cs="Arial"/>
          <w:rtl/>
        </w:rPr>
        <w:t>רק ציון עובר של העבודה יזכה את הסטודנט/ית ב-40% מכלל הציון הסופי בקורס.</w:t>
      </w:r>
      <w:r>
        <w:rPr>
          <w:rFonts w:hint="cs"/>
          <w:rtl/>
        </w:rPr>
        <w:t xml:space="preserve"> </w:t>
      </w:r>
    </w:p>
    <w:p w:rsidR="001B79A9" w:rsidRDefault="001B79A9" w:rsidP="001B79A9">
      <w:pPr>
        <w:spacing w:line="360" w:lineRule="auto"/>
        <w:jc w:val="both"/>
        <w:rPr>
          <w:rtl/>
        </w:rPr>
      </w:pPr>
      <w:r w:rsidRPr="001B79A9">
        <w:rPr>
          <w:rFonts w:ascii="Arial" w:hAnsi="Arial" w:cs="Arial"/>
          <w:sz w:val="20"/>
          <w:szCs w:val="20"/>
          <w:rtl/>
        </w:rPr>
        <w:t>אורך העבודה לא יעלה על חמישה עמודים, מודפס בכתב דויד, גודל 12, רווח שורה וחצי ושוליים מספיקים להערות.</w:t>
      </w:r>
    </w:p>
    <w:p w:rsidR="003710EB" w:rsidRDefault="003710EB" w:rsidP="003710EB">
      <w:pPr>
        <w:spacing w:line="360" w:lineRule="auto"/>
        <w:jc w:val="both"/>
        <w:rPr>
          <w:u w:val="single"/>
          <w:rtl/>
          <w:lang w:val="en-GB"/>
        </w:rPr>
      </w:pPr>
    </w:p>
    <w:p w:rsidR="003710EB" w:rsidRDefault="003710EB" w:rsidP="003710EB">
      <w:pPr>
        <w:spacing w:line="360" w:lineRule="auto"/>
        <w:jc w:val="both"/>
        <w:rPr>
          <w:rtl/>
          <w:lang w:val="en-GB"/>
        </w:rPr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Pr="004B6865" w:rsidRDefault="003710EB" w:rsidP="001C5B15">
      <w:pPr>
        <w:bidi w:val="0"/>
        <w:jc w:val="right"/>
        <w:rPr>
          <w:b/>
          <w:bCs/>
          <w:color w:val="FF0000"/>
        </w:rPr>
      </w:pPr>
      <w:r w:rsidRPr="004B6865">
        <w:rPr>
          <w:rFonts w:hint="cs"/>
          <w:b/>
          <w:bCs/>
          <w:color w:val="FF0000"/>
          <w:rtl/>
        </w:rPr>
        <w:lastRenderedPageBreak/>
        <w:t>שיעור 1</w:t>
      </w:r>
    </w:p>
    <w:p w:rsidR="003710EB" w:rsidRDefault="003710EB" w:rsidP="003710EB">
      <w:pPr>
        <w:bidi w:val="0"/>
        <w:jc w:val="right"/>
        <w:rPr>
          <w:rtl/>
        </w:rPr>
      </w:pPr>
      <w:r>
        <w:rPr>
          <w:rFonts w:hint="cs"/>
          <w:rtl/>
        </w:rPr>
        <w:t xml:space="preserve">הכרות עם מטרות הקורס ודרישותיו, רקע והסילבוס, הסבר על החומרים אשר יועברו בכיתה, תיאום ציפיות. </w:t>
      </w:r>
    </w:p>
    <w:p w:rsidR="003710EB" w:rsidRDefault="003710EB" w:rsidP="003710EB">
      <w:pPr>
        <w:bidi w:val="0"/>
        <w:jc w:val="right"/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1. איפה ומה הם הבלקנים? התהוותו של המושג הגיאוגרפי, התרבותי והפוליטי?</w:t>
      </w:r>
    </w:p>
    <w:p w:rsidR="003710EB" w:rsidRPr="004B6865" w:rsidRDefault="003710EB" w:rsidP="001C5B15">
      <w:pPr>
        <w:bidi w:val="0"/>
        <w:jc w:val="right"/>
        <w:rPr>
          <w:b/>
          <w:bCs/>
          <w:color w:val="FF0000"/>
        </w:rPr>
      </w:pPr>
      <w:r w:rsidRPr="004B6865">
        <w:rPr>
          <w:rFonts w:hint="cs"/>
          <w:b/>
          <w:bCs/>
          <w:color w:val="FF0000"/>
          <w:rtl/>
        </w:rPr>
        <w:t>שיעור 2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Maria Todorova,</w:t>
      </w:r>
      <w:r>
        <w:t xml:space="preserve"> </w:t>
      </w:r>
      <w:r>
        <w:rPr>
          <w:iCs/>
        </w:rPr>
        <w:t>The Balkans: From Discovery to Invention</w:t>
      </w:r>
      <w:r>
        <w:rPr>
          <w:i/>
        </w:rPr>
        <w:t xml:space="preserve">, </w:t>
      </w:r>
      <w:r>
        <w:rPr>
          <w:bCs/>
          <w:i/>
          <w:iCs/>
        </w:rPr>
        <w:t>Slavic Review</w:t>
      </w:r>
      <w:r>
        <w:rPr>
          <w:bCs/>
        </w:rPr>
        <w:t xml:space="preserve">, Vol. 53, No. 2, </w:t>
      </w:r>
      <w:r>
        <w:t>1994, pp. 453-482.</w:t>
      </w:r>
    </w:p>
    <w:p w:rsidR="00C87097" w:rsidRDefault="00BE3922" w:rsidP="00C87097">
      <w:pPr>
        <w:bidi w:val="0"/>
      </w:pPr>
      <w:hyperlink r:id="rId8" w:history="1">
        <w:r w:rsidR="00C87097" w:rsidRPr="003070A7">
          <w:rPr>
            <w:rStyle w:val="Hyperlink"/>
            <w:b/>
            <w:bCs/>
            <w:color w:val="auto"/>
            <w:u w:val="none"/>
          </w:rPr>
          <w:t>Milica Bakic-Hayden and Robert M. Hayden</w:t>
        </w:r>
        <w:r w:rsidR="00C87097" w:rsidRPr="003070A7">
          <w:rPr>
            <w:rStyle w:val="Hyperlink"/>
            <w:color w:val="auto"/>
            <w:u w:val="none"/>
          </w:rPr>
          <w:t xml:space="preserve">, “Orientalist Variations on the Theme ‘Balkans’: Symbolic Geography in Recent Yugoslav Cultural Politics’, </w:t>
        </w:r>
        <w:r w:rsidR="00C87097" w:rsidRPr="003070A7">
          <w:rPr>
            <w:rStyle w:val="Hyperlink"/>
            <w:i/>
            <w:iCs/>
            <w:color w:val="auto"/>
            <w:u w:val="none"/>
          </w:rPr>
          <w:t>Slavic Review</w:t>
        </w:r>
        <w:r w:rsidR="00C87097" w:rsidRPr="003070A7">
          <w:rPr>
            <w:rStyle w:val="Hyperlink"/>
            <w:color w:val="auto"/>
            <w:u w:val="none"/>
          </w:rPr>
          <w:t xml:space="preserve">, 51:1 (1992), pp. 1-15. </w:t>
        </w:r>
        <w:r w:rsidR="00C87097" w:rsidRPr="003070A7">
          <w:br/>
        </w:r>
      </w:hyperlink>
    </w:p>
    <w:p w:rsidR="003710EB" w:rsidRDefault="003710EB" w:rsidP="003710EB">
      <w:pPr>
        <w:bidi w:val="0"/>
        <w:jc w:val="right"/>
      </w:pPr>
    </w:p>
    <w:p w:rsidR="003710EB" w:rsidRDefault="003710EB" w:rsidP="003710EB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2. מאימפריות רב-לאומיות למדינת הלאום</w:t>
      </w:r>
    </w:p>
    <w:p w:rsidR="003710EB" w:rsidRPr="004B6865" w:rsidRDefault="003710EB" w:rsidP="003070A7">
      <w:pPr>
        <w:bidi w:val="0"/>
        <w:jc w:val="right"/>
        <w:rPr>
          <w:b/>
          <w:color w:val="FF0000"/>
          <w:rtl/>
        </w:rPr>
      </w:pPr>
      <w:r w:rsidRPr="004B6865">
        <w:rPr>
          <w:rFonts w:hint="cs"/>
          <w:bCs/>
          <w:color w:val="FF0000"/>
          <w:rtl/>
        </w:rPr>
        <w:t>שיעור 3</w:t>
      </w:r>
    </w:p>
    <w:p w:rsidR="003710EB" w:rsidRDefault="003710EB" w:rsidP="003710EB">
      <w:pPr>
        <w:bidi w:val="0"/>
      </w:pPr>
      <w:r>
        <w:rPr>
          <w:b/>
          <w:bCs/>
        </w:rPr>
        <w:t>Mark Mazower</w:t>
      </w:r>
      <w:r>
        <w:t xml:space="preserve">, “Before the Nation” in </w:t>
      </w:r>
      <w:r>
        <w:rPr>
          <w:i/>
        </w:rPr>
        <w:t xml:space="preserve">The Balkans: A Short History, </w:t>
      </w:r>
      <w:r>
        <w:rPr>
          <w:bCs/>
        </w:rPr>
        <w:t>New York: The Modern Library,</w:t>
      </w:r>
      <w:r>
        <w:rPr>
          <w:b/>
        </w:rPr>
        <w:t xml:space="preserve"> </w:t>
      </w:r>
      <w:r>
        <w:t>2002, pp. 45-76.</w:t>
      </w:r>
    </w:p>
    <w:p w:rsidR="003710EB" w:rsidRDefault="003710EB" w:rsidP="003710EB">
      <w:pPr>
        <w:bidi w:val="0"/>
      </w:pPr>
      <w:r>
        <w:rPr>
          <w:b/>
          <w:bCs/>
        </w:rPr>
        <w:t>E. Garrison Walters</w:t>
      </w:r>
      <w:r>
        <w:t xml:space="preserve">, </w:t>
      </w:r>
      <w:r>
        <w:rPr>
          <w:i/>
          <w:iCs/>
        </w:rPr>
        <w:t>The Other Europe: Eastern Europe to 1945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Syracuse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1988, pp. 90-109.</w:t>
      </w:r>
    </w:p>
    <w:p w:rsidR="003710EB" w:rsidRDefault="003710EB" w:rsidP="003710EB">
      <w:pPr>
        <w:bidi w:val="0"/>
        <w:jc w:val="right"/>
      </w:pPr>
    </w:p>
    <w:p w:rsidR="003710EB" w:rsidRDefault="003710EB" w:rsidP="003710EB">
      <w:pPr>
        <w:bidi w:val="0"/>
        <w:jc w:val="right"/>
        <w:rPr>
          <w:rtl/>
        </w:rPr>
      </w:pPr>
    </w:p>
    <w:p w:rsidR="003710EB" w:rsidRDefault="003710EB" w:rsidP="003710EB">
      <w:pPr>
        <w:bidi w:val="0"/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3. תרבות פוליטית: קומוניזם נוסח בלקנים?</w:t>
      </w:r>
    </w:p>
    <w:p w:rsidR="003710EB" w:rsidRDefault="003710EB" w:rsidP="00C87097">
      <w:pPr>
        <w:bidi w:val="0"/>
        <w:jc w:val="right"/>
        <w:rPr>
          <w:b/>
          <w:bCs/>
        </w:rPr>
      </w:pPr>
      <w:r w:rsidRPr="004B6865">
        <w:rPr>
          <w:rFonts w:hint="cs"/>
          <w:b/>
          <w:bCs/>
          <w:color w:val="FF0000"/>
          <w:rtl/>
        </w:rPr>
        <w:t>שיעור 4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 xml:space="preserve">Robin Okey, </w:t>
      </w:r>
      <w:r>
        <w:rPr>
          <w:i/>
          <w:iCs/>
        </w:rPr>
        <w:t>Eastern Europe 1740-1985: Feudalism to Communism</w:t>
      </w:r>
      <w:r>
        <w:t xml:space="preserve">, University of </w:t>
      </w:r>
      <w:smartTag w:uri="urn:schemas-microsoft-com:office:smarttags" w:element="place">
        <w:smartTag w:uri="urn:schemas-microsoft-com:office:smarttags" w:element="State">
          <w:r>
            <w:t>Minnesota</w:t>
          </w:r>
        </w:smartTag>
      </w:smartTag>
      <w:r>
        <w:t xml:space="preserve"> Press, 1986, pp. 181-204. </w:t>
      </w:r>
    </w:p>
    <w:p w:rsidR="003710EB" w:rsidRDefault="003710EB" w:rsidP="003710EB">
      <w:pPr>
        <w:bidi w:val="0"/>
      </w:pPr>
      <w:r>
        <w:rPr>
          <w:b/>
          <w:bCs/>
        </w:rPr>
        <w:t>Bogdan Denitch</w:t>
      </w:r>
      <w:r>
        <w:t xml:space="preserve">, “Violence and Social Change in the Yugoslav Revolution,” </w:t>
      </w:r>
      <w:r>
        <w:rPr>
          <w:i/>
          <w:iCs/>
        </w:rPr>
        <w:t xml:space="preserve">Comparative Politics, </w:t>
      </w:r>
      <w:r>
        <w:t>pp. 465-478.</w:t>
      </w:r>
    </w:p>
    <w:p w:rsidR="003710EB" w:rsidRDefault="003710EB" w:rsidP="003710EB">
      <w:pPr>
        <w:bidi w:val="0"/>
        <w:rPr>
          <w:bCs/>
          <w:rtl/>
        </w:rPr>
      </w:pPr>
    </w:p>
    <w:p w:rsidR="008860B4" w:rsidRDefault="008860B4" w:rsidP="008860B4">
      <w:pPr>
        <w:bidi w:val="0"/>
        <w:rPr>
          <w:bCs/>
        </w:rPr>
      </w:pPr>
    </w:p>
    <w:p w:rsidR="003710EB" w:rsidRDefault="003710EB" w:rsidP="00B71B73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4. </w:t>
      </w:r>
      <w:r w:rsidR="00B71B73">
        <w:rPr>
          <w:rFonts w:hint="cs"/>
          <w:b/>
          <w:bCs/>
          <w:sz w:val="28"/>
          <w:szCs w:val="28"/>
          <w:u w:val="single"/>
          <w:rtl/>
        </w:rPr>
        <w:t>הסוציאליזם המדיני ביוגוסלביה: מ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סובלנות אתנית </w:t>
      </w:r>
      <w:r w:rsidR="00B71B73">
        <w:rPr>
          <w:rFonts w:hint="cs"/>
          <w:b/>
          <w:bCs/>
          <w:sz w:val="28"/>
          <w:szCs w:val="28"/>
          <w:u w:val="single"/>
          <w:rtl/>
        </w:rPr>
        <w:t>להרס השכנות</w:t>
      </w:r>
    </w:p>
    <w:p w:rsidR="003710EB" w:rsidRDefault="003710EB" w:rsidP="00C87097">
      <w:pPr>
        <w:bidi w:val="0"/>
        <w:jc w:val="right"/>
        <w:rPr>
          <w:b/>
          <w:bCs/>
        </w:rPr>
      </w:pPr>
      <w:r>
        <w:t xml:space="preserve">  </w:t>
      </w:r>
      <w:r w:rsidRPr="004B6865">
        <w:rPr>
          <w:rFonts w:hint="cs"/>
          <w:b/>
          <w:bCs/>
          <w:color w:val="FF0000"/>
          <w:rtl/>
        </w:rPr>
        <w:t>שיעור 5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jc w:val="center"/>
      </w:pPr>
      <w:r>
        <w:rPr>
          <w:rFonts w:hint="cs"/>
          <w:rtl/>
        </w:rPr>
        <w:t>הקרנה ודיון בסרט: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  <w:i/>
          <w:iCs/>
        </w:rPr>
        <w:t>We are all Neighbors</w:t>
      </w:r>
      <w:r>
        <w:t>, 1992, Director: Dr. Tone Bringa (</w:t>
      </w:r>
      <w:r>
        <w:rPr>
          <w:color w:val="000000"/>
        </w:rPr>
        <w:t>Norwegian</w:t>
      </w:r>
      <w:r>
        <w:t>), 52 min.</w:t>
      </w:r>
    </w:p>
    <w:p w:rsidR="003710EB" w:rsidRDefault="003710EB" w:rsidP="003710EB">
      <w:pPr>
        <w:bidi w:val="0"/>
        <w:jc w:val="center"/>
      </w:pPr>
    </w:p>
    <w:p w:rsidR="003710EB" w:rsidRDefault="003710EB" w:rsidP="003710EB">
      <w:pPr>
        <w:bidi w:val="0"/>
      </w:pPr>
      <w:r>
        <w:rPr>
          <w:b/>
          <w:bCs/>
        </w:rPr>
        <w:t>Randy Hodson, Dusko Sekulic and Garth Massey</w:t>
      </w:r>
      <w:r>
        <w:t xml:space="preserve">, “National Tolerance in the Former Yugoslavia”, </w:t>
      </w:r>
      <w:r>
        <w:rPr>
          <w:i/>
          <w:iCs/>
        </w:rPr>
        <w:t>The American Journal of Sociology</w:t>
      </w:r>
      <w:r>
        <w:t>, Vol. 99, No. 6, (May, 1994), pp. 1534-1558.</w:t>
      </w:r>
    </w:p>
    <w:p w:rsidR="00B71B73" w:rsidRDefault="00B71B73" w:rsidP="00B71B73">
      <w:pPr>
        <w:bidi w:val="0"/>
        <w:rPr>
          <w:bCs/>
        </w:rPr>
      </w:pPr>
      <w:r>
        <w:rPr>
          <w:b/>
        </w:rPr>
        <w:t>Slavenka Drakulic</w:t>
      </w:r>
      <w:r>
        <w:rPr>
          <w:bCs/>
        </w:rPr>
        <w:t xml:space="preserve">, ” </w:t>
      </w:r>
      <w:r>
        <w:rPr>
          <w:bCs/>
          <w:i/>
          <w:iCs/>
        </w:rPr>
        <w:t>How We Survived Communism and Even Laughed</w:t>
      </w:r>
      <w:r>
        <w:rPr>
          <w:bCs/>
        </w:rPr>
        <w:t>, pp. 11-32, 179-89.</w:t>
      </w:r>
    </w:p>
    <w:p w:rsidR="003710EB" w:rsidRDefault="00B71B73" w:rsidP="00B71B73">
      <w:pPr>
        <w:bidi w:val="0"/>
        <w:rPr>
          <w:bCs/>
        </w:rPr>
      </w:pPr>
      <w:r>
        <w:rPr>
          <w:b/>
        </w:rPr>
        <w:t>Robert M. Hayden, “</w:t>
      </w:r>
      <w:r>
        <w:rPr>
          <w:rFonts w:eastAsia="Calibri"/>
        </w:rPr>
        <w:t>Constitutional Nationalism in the Formerly Yugoslav Republics”,</w:t>
      </w:r>
      <w:r>
        <w:rPr>
          <w:rFonts w:eastAsia="Calibri"/>
          <w:i/>
          <w:iCs/>
        </w:rPr>
        <w:t xml:space="preserve"> Slavic Review</w:t>
      </w:r>
      <w:r>
        <w:rPr>
          <w:rFonts w:eastAsia="Calibri"/>
        </w:rPr>
        <w:t>, Vol. 51, No. 4. (Winter, 1992), pp. 654-673.</w:t>
      </w:r>
    </w:p>
    <w:p w:rsidR="00B71B73" w:rsidRDefault="00B71B73" w:rsidP="00B71B73">
      <w:pPr>
        <w:bidi w:val="0"/>
        <w:rPr>
          <w:bCs/>
        </w:rPr>
      </w:pPr>
    </w:p>
    <w:p w:rsidR="003710EB" w:rsidRDefault="003710EB" w:rsidP="003710EB">
      <w:pPr>
        <w:jc w:val="right"/>
      </w:pPr>
    </w:p>
    <w:p w:rsidR="003710EB" w:rsidRDefault="003710EB" w:rsidP="003710EB">
      <w:pPr>
        <w:jc w:val="right"/>
      </w:pPr>
    </w:p>
    <w:p w:rsidR="0078787C" w:rsidRDefault="0078787C" w:rsidP="003710EB">
      <w:pPr>
        <w:jc w:val="right"/>
      </w:pPr>
    </w:p>
    <w:p w:rsidR="0078787C" w:rsidRDefault="0078787C" w:rsidP="003710EB">
      <w:pPr>
        <w:jc w:val="right"/>
        <w:rPr>
          <w:rtl/>
        </w:rPr>
      </w:pPr>
    </w:p>
    <w:p w:rsidR="003710EB" w:rsidRDefault="00B71B73" w:rsidP="003710EB">
      <w:pPr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lastRenderedPageBreak/>
        <w:t>5</w:t>
      </w:r>
      <w:r w:rsidR="003710EB">
        <w:rPr>
          <w:rFonts w:hint="cs"/>
          <w:b/>
          <w:bCs/>
          <w:sz w:val="28"/>
          <w:szCs w:val="28"/>
          <w:u w:val="single"/>
          <w:rtl/>
        </w:rPr>
        <w:t>. פירוקה של הפדרציה היוגוסלבית</w:t>
      </w:r>
    </w:p>
    <w:p w:rsidR="00D9008E" w:rsidRDefault="00D9008E" w:rsidP="00D9008E">
      <w:pPr>
        <w:bidi w:val="0"/>
        <w:jc w:val="right"/>
        <w:rPr>
          <w:bCs/>
          <w:rtl/>
        </w:rPr>
      </w:pPr>
      <w:r>
        <w:rPr>
          <w:rFonts w:hint="cs"/>
          <w:b/>
          <w:u w:val="single"/>
          <w:rtl/>
        </w:rPr>
        <w:t>א. תחילתן של מלחמות</w:t>
      </w:r>
      <w:r w:rsidR="00E046DD">
        <w:rPr>
          <w:rFonts w:hint="cs"/>
          <w:b/>
          <w:u w:val="single"/>
          <w:rtl/>
        </w:rPr>
        <w:t xml:space="preserve"> חדשות</w:t>
      </w:r>
    </w:p>
    <w:p w:rsidR="003710EB" w:rsidRDefault="003710EB" w:rsidP="00B71B73">
      <w:pPr>
        <w:bidi w:val="0"/>
        <w:jc w:val="right"/>
        <w:rPr>
          <w:bCs/>
          <w:rtl/>
        </w:rPr>
      </w:pPr>
      <w:r w:rsidRPr="004B6865">
        <w:rPr>
          <w:rFonts w:hint="cs"/>
          <w:bCs/>
          <w:color w:val="FF0000"/>
          <w:rtl/>
        </w:rPr>
        <w:t xml:space="preserve">שיעור </w:t>
      </w:r>
      <w:r w:rsidR="00B71B73" w:rsidRPr="004B6865">
        <w:rPr>
          <w:rFonts w:hint="cs"/>
          <w:bCs/>
          <w:color w:val="FF0000"/>
          <w:rtl/>
        </w:rPr>
        <w:t>6</w:t>
      </w:r>
      <w:r>
        <w:rPr>
          <w:rFonts w:hint="cs"/>
          <w:bCs/>
          <w:rtl/>
        </w:rPr>
        <w:t xml:space="preserve"> </w:t>
      </w:r>
    </w:p>
    <w:p w:rsidR="003710EB" w:rsidRDefault="003710EB" w:rsidP="00D9008E">
      <w:pPr>
        <w:bidi w:val="0"/>
        <w:rPr>
          <w:rFonts w:eastAsia="Calibri"/>
        </w:rPr>
      </w:pPr>
      <w:r>
        <w:rPr>
          <w:b/>
          <w:bCs/>
        </w:rPr>
        <w:t>V.P. Gagnon, Jr,</w:t>
      </w:r>
      <w:r>
        <w:t xml:space="preserve"> “Serbia’s Road to War”, </w:t>
      </w:r>
      <w:r>
        <w:rPr>
          <w:rFonts w:eastAsia="Calibri"/>
          <w:i/>
          <w:iCs/>
        </w:rPr>
        <w:t xml:space="preserve">Journal of Democracy, </w:t>
      </w:r>
      <w:r>
        <w:rPr>
          <w:rFonts w:eastAsia="Calibri"/>
        </w:rPr>
        <w:t>Vol. 5, No. 2 April 1994, pp. 117-131.</w:t>
      </w:r>
    </w:p>
    <w:p w:rsidR="003710EB" w:rsidRDefault="003710EB" w:rsidP="003710EB">
      <w:pPr>
        <w:bidi w:val="0"/>
        <w:jc w:val="right"/>
        <w:rPr>
          <w:rFonts w:eastAsia="Calibri"/>
          <w:rtl/>
        </w:rPr>
      </w:pPr>
      <w:r>
        <w:rPr>
          <w:rFonts w:eastAsia="Calibri" w:hint="cs"/>
          <w:b/>
          <w:bCs/>
          <w:rtl/>
        </w:rPr>
        <w:t>ויליאם היצ'קוק</w:t>
      </w:r>
      <w:r>
        <w:rPr>
          <w:rFonts w:eastAsia="Calibri" w:hint="cs"/>
          <w:rtl/>
        </w:rPr>
        <w:t xml:space="preserve">, 2003, </w:t>
      </w:r>
      <w:r>
        <w:rPr>
          <w:rFonts w:eastAsia="Calibri" w:hint="cs"/>
          <w:i/>
          <w:iCs/>
          <w:rtl/>
        </w:rPr>
        <w:t>המאבק על אירופה; ההיסטוריה הסוערת של יבשת מחולקת, 1945 עד ימינו</w:t>
      </w:r>
      <w:r>
        <w:rPr>
          <w:rFonts w:eastAsia="Calibri" w:hint="cs"/>
          <w:rtl/>
        </w:rPr>
        <w:t>, עם עובד/ ספרית אפקים, עמ' 413-425.</w:t>
      </w:r>
      <w:r w:rsidR="00D9008E">
        <w:rPr>
          <w:rFonts w:eastAsia="Calibri" w:hint="cs"/>
          <w:rtl/>
        </w:rPr>
        <w:t xml:space="preserve"> </w:t>
      </w:r>
    </w:p>
    <w:p w:rsidR="00D9008E" w:rsidRDefault="00D9008E" w:rsidP="00D9008E">
      <w:pPr>
        <w:bidi w:val="0"/>
        <w:jc w:val="center"/>
      </w:pPr>
      <w:r>
        <w:rPr>
          <w:rFonts w:hint="cs"/>
          <w:rtl/>
        </w:rPr>
        <w:t>הקרנה ודיון בסרט:</w:t>
      </w:r>
    </w:p>
    <w:p w:rsidR="00D9008E" w:rsidRDefault="00D9008E" w:rsidP="00D9008E">
      <w:pPr>
        <w:bidi w:val="0"/>
        <w:rPr>
          <w:color w:val="000000"/>
          <w:rtl/>
        </w:rPr>
      </w:pPr>
      <w:r>
        <w:rPr>
          <w:b/>
          <w:bCs/>
          <w:i/>
          <w:iCs/>
          <w:color w:val="000000"/>
          <w:lang w:val="en"/>
        </w:rPr>
        <w:t>Pretty Village, Pretty Flame</w:t>
      </w:r>
      <w:r>
        <w:rPr>
          <w:color w:val="000000"/>
          <w:lang w:val="en"/>
        </w:rPr>
        <w:t>, 1996, Director: Srđan Dragojević (S</w:t>
      </w:r>
      <w:r>
        <w:rPr>
          <w:color w:val="000000"/>
        </w:rPr>
        <w:t>erbian</w:t>
      </w:r>
      <w:r>
        <w:rPr>
          <w:color w:val="000000"/>
          <w:lang w:val="en"/>
        </w:rPr>
        <w:t>), 1</w:t>
      </w:r>
      <w:r>
        <w:rPr>
          <w:rFonts w:hint="cs"/>
          <w:color w:val="000000"/>
          <w:rtl/>
          <w:lang w:val="en"/>
        </w:rPr>
        <w:t>23</w:t>
      </w:r>
      <w:r>
        <w:rPr>
          <w:color w:val="000000"/>
          <w:lang w:val="en"/>
        </w:rPr>
        <w:t xml:space="preserve"> min.</w:t>
      </w:r>
    </w:p>
    <w:p w:rsidR="00D9008E" w:rsidRDefault="00D9008E" w:rsidP="00D9008E">
      <w:pPr>
        <w:bidi w:val="0"/>
        <w:jc w:val="right"/>
        <w:rPr>
          <w:rFonts w:eastAsia="Calibri"/>
        </w:rPr>
      </w:pPr>
    </w:p>
    <w:p w:rsidR="003710EB" w:rsidRDefault="003710EB" w:rsidP="003710EB">
      <w:pPr>
        <w:bidi w:val="0"/>
        <w:rPr>
          <w:b/>
        </w:rPr>
      </w:pPr>
    </w:p>
    <w:p w:rsidR="003710EB" w:rsidRDefault="00D9008E" w:rsidP="00D9008E">
      <w:pPr>
        <w:bidi w:val="0"/>
        <w:ind w:left="2355"/>
        <w:jc w:val="right"/>
        <w:rPr>
          <w:b/>
          <w:u w:val="single"/>
        </w:rPr>
      </w:pPr>
      <w:r>
        <w:rPr>
          <w:rFonts w:hint="cs"/>
          <w:b/>
          <w:u w:val="single"/>
          <w:rtl/>
        </w:rPr>
        <w:t>ב</w:t>
      </w:r>
      <w:r w:rsidR="003710EB">
        <w:rPr>
          <w:rFonts w:hint="cs"/>
          <w:b/>
          <w:u w:val="single"/>
          <w:rtl/>
        </w:rPr>
        <w:t>. מדיה</w:t>
      </w:r>
      <w:r>
        <w:rPr>
          <w:rFonts w:hint="cs"/>
          <w:b/>
          <w:u w:val="single"/>
          <w:rtl/>
        </w:rPr>
        <w:t>, מגדר</w:t>
      </w:r>
      <w:r w:rsidR="003710EB">
        <w:rPr>
          <w:rFonts w:hint="cs"/>
          <w:b/>
          <w:u w:val="single"/>
          <w:rtl/>
        </w:rPr>
        <w:t xml:space="preserve"> וטיהור אתני</w:t>
      </w:r>
    </w:p>
    <w:p w:rsidR="003710EB" w:rsidRDefault="003710EB" w:rsidP="00B71B73">
      <w:pPr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 xml:space="preserve">שיעור </w:t>
      </w:r>
      <w:r w:rsidR="00B71B73" w:rsidRPr="004B6865">
        <w:rPr>
          <w:rFonts w:hint="cs"/>
          <w:b/>
          <w:bCs/>
          <w:color w:val="FF0000"/>
          <w:rtl/>
        </w:rPr>
        <w:t>7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b/>
          <w:rtl/>
        </w:rPr>
      </w:pPr>
      <w:r>
        <w:rPr>
          <w:b/>
        </w:rPr>
        <w:t>Agneza Bozic-Roberson, “</w:t>
      </w:r>
      <w:r>
        <w:rPr>
          <w:bCs/>
        </w:rPr>
        <w:t xml:space="preserve">Words before the War: Milosevic’s Use of Mass Media and Rhetoric to Provoke Ethno-Political Conflict in Former Yugoslavia”, </w:t>
      </w:r>
      <w:r>
        <w:rPr>
          <w:bCs/>
          <w:i/>
          <w:iCs/>
        </w:rPr>
        <w:t>East European Quarterly</w:t>
      </w:r>
      <w:r>
        <w:rPr>
          <w:bCs/>
        </w:rPr>
        <w:t>, Vol. 38, No. 4. Winter 2004, pp. 395-408.</w:t>
      </w:r>
    </w:p>
    <w:p w:rsidR="00D9008E" w:rsidRDefault="00D9008E" w:rsidP="00D9008E">
      <w:pPr>
        <w:tabs>
          <w:tab w:val="left" w:pos="630"/>
        </w:tabs>
        <w:bidi w:val="0"/>
      </w:pPr>
      <w:r>
        <w:rPr>
          <w:b/>
          <w:bCs/>
        </w:rPr>
        <w:t>Slavenka Drakulic</w:t>
      </w:r>
      <w:r>
        <w:t xml:space="preserve">, “Dead Silence of the City,” </w:t>
      </w:r>
      <w:r>
        <w:rPr>
          <w:i/>
          <w:iCs/>
        </w:rPr>
        <w:t>Balkan Express</w:t>
      </w:r>
      <w:r>
        <w:t>, pp. 10-21, 42-52.</w:t>
      </w:r>
    </w:p>
    <w:p w:rsidR="00D9008E" w:rsidRDefault="00D9008E" w:rsidP="00D9008E">
      <w:pPr>
        <w:tabs>
          <w:tab w:val="left" w:pos="630"/>
        </w:tabs>
        <w:bidi w:val="0"/>
      </w:pPr>
      <w:r>
        <w:rPr>
          <w:b/>
          <w:bCs/>
        </w:rPr>
        <w:t>Darius M. Rejali</w:t>
      </w:r>
      <w:r>
        <w:t xml:space="preserve">, “After Feminist Analyses of Bosnian Violence”, in </w:t>
      </w:r>
      <w:r>
        <w:rPr>
          <w:i/>
          <w:iCs/>
        </w:rPr>
        <w:t>The Women and War Reader,</w:t>
      </w:r>
      <w:r>
        <w:t xml:space="preserve"> eds. Lorentzen and Turpin, 1998, New-York University Press, pp. 26-32.</w:t>
      </w:r>
    </w:p>
    <w:p w:rsidR="003710EB" w:rsidRDefault="003710EB" w:rsidP="00D9008E">
      <w:pPr>
        <w:bidi w:val="0"/>
        <w:rPr>
          <w:bCs/>
          <w:rtl/>
        </w:rPr>
      </w:pPr>
      <w:r>
        <w:rPr>
          <w:b/>
        </w:rPr>
        <w:t>Thomas Cushman</w:t>
      </w:r>
      <w:r>
        <w:rPr>
          <w:bCs/>
        </w:rPr>
        <w:t xml:space="preserve">, "Anthropology and Genocide in the Balkans", </w:t>
      </w:r>
      <w:r>
        <w:rPr>
          <w:bCs/>
          <w:i/>
          <w:iCs/>
        </w:rPr>
        <w:t>Anthropological Theory</w:t>
      </w:r>
      <w:r>
        <w:rPr>
          <w:bCs/>
        </w:rPr>
        <w:t xml:space="preserve">, Vol. 4(1), 2004, pp. 5-28. </w:t>
      </w:r>
    </w:p>
    <w:p w:rsidR="003710EB" w:rsidRDefault="003710EB" w:rsidP="003710EB">
      <w:pPr>
        <w:bidi w:val="0"/>
        <w:jc w:val="right"/>
        <w:rPr>
          <w:rFonts w:eastAsia="Calibri"/>
        </w:rPr>
      </w:pPr>
    </w:p>
    <w:p w:rsidR="003710EB" w:rsidRDefault="00D9008E" w:rsidP="00D9008E">
      <w:pPr>
        <w:bidi w:val="0"/>
        <w:jc w:val="right"/>
        <w:rPr>
          <w:rFonts w:eastAsia="Calibri"/>
          <w:b/>
          <w:bCs/>
          <w:rtl/>
        </w:rPr>
      </w:pPr>
      <w:r>
        <w:rPr>
          <w:rFonts w:hint="cs"/>
          <w:u w:val="single"/>
          <w:rtl/>
        </w:rPr>
        <w:t>ג</w:t>
      </w:r>
      <w:r w:rsidR="003710EB">
        <w:rPr>
          <w:rFonts w:hint="cs"/>
          <w:u w:val="single"/>
          <w:rtl/>
        </w:rPr>
        <w:t>. אלימות מאורגנת</w:t>
      </w:r>
      <w:r>
        <w:rPr>
          <w:rFonts w:hint="cs"/>
          <w:u w:val="single"/>
          <w:rtl/>
        </w:rPr>
        <w:t xml:space="preserve"> ואורביסייד: הרס הערים והסביבה  </w:t>
      </w:r>
    </w:p>
    <w:p w:rsidR="003710EB" w:rsidRDefault="003710EB" w:rsidP="00B71B73">
      <w:pPr>
        <w:bidi w:val="0"/>
        <w:jc w:val="right"/>
        <w:rPr>
          <w:rFonts w:eastAsia="Calibri"/>
          <w:b/>
          <w:bCs/>
        </w:rPr>
      </w:pPr>
      <w:r w:rsidRPr="004B6865">
        <w:rPr>
          <w:rFonts w:eastAsia="Calibri" w:hint="cs"/>
          <w:b/>
          <w:bCs/>
          <w:color w:val="FF0000"/>
          <w:rtl/>
        </w:rPr>
        <w:t xml:space="preserve">שיעור </w:t>
      </w:r>
      <w:r w:rsidR="00B71B73" w:rsidRPr="004B6865">
        <w:rPr>
          <w:rFonts w:eastAsia="Calibri" w:hint="cs"/>
          <w:b/>
          <w:bCs/>
          <w:color w:val="FF0000"/>
          <w:rtl/>
        </w:rPr>
        <w:t>8</w:t>
      </w:r>
      <w:r>
        <w:rPr>
          <w:rFonts w:eastAsia="Calibri" w:hint="cs"/>
          <w:b/>
          <w:bCs/>
          <w:rtl/>
        </w:rPr>
        <w:t xml:space="preserve"> </w:t>
      </w:r>
    </w:p>
    <w:p w:rsidR="003710EB" w:rsidRDefault="003710EB" w:rsidP="00D9008E">
      <w:pPr>
        <w:tabs>
          <w:tab w:val="left" w:pos="630"/>
        </w:tabs>
        <w:bidi w:val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פוייר, פרנקלין, 2005</w:t>
      </w:r>
      <w:r>
        <w:rPr>
          <w:rFonts w:hint="cs"/>
          <w:rtl/>
        </w:rPr>
        <w:t xml:space="preserve">, גן-העדן של הגנגסטרים על-פי הכדורגל, </w:t>
      </w:r>
      <w:r>
        <w:rPr>
          <w:rFonts w:hint="cs"/>
          <w:i/>
          <w:iCs/>
          <w:rtl/>
        </w:rPr>
        <w:t>העולם על-פי הכדורגל,</w:t>
      </w:r>
      <w:r>
        <w:rPr>
          <w:rFonts w:hint="cs"/>
          <w:rtl/>
        </w:rPr>
        <w:t xml:space="preserve"> מטר הוצאה לאור בע"מ,</w:t>
      </w:r>
      <w:r w:rsidR="00D9008E">
        <w:t xml:space="preserve"> </w:t>
      </w:r>
      <w:r>
        <w:rPr>
          <w:rFonts w:hint="cs"/>
          <w:rtl/>
        </w:rPr>
        <w:t xml:space="preserve">עמ' 13-31. </w:t>
      </w:r>
    </w:p>
    <w:p w:rsidR="003710EB" w:rsidRDefault="003710EB" w:rsidP="003710EB">
      <w:pPr>
        <w:rPr>
          <w:u w:val="single"/>
        </w:rPr>
      </w:pPr>
    </w:p>
    <w:p w:rsidR="003710EB" w:rsidRDefault="003710EB" w:rsidP="003710EB">
      <w:pPr>
        <w:bidi w:val="0"/>
        <w:rPr>
          <w:rFonts w:eastAsia="Calibri"/>
        </w:rPr>
      </w:pPr>
      <w:r>
        <w:rPr>
          <w:rFonts w:eastAsia="Calibri"/>
          <w:b/>
          <w:bCs/>
        </w:rPr>
        <w:t>András J Riedlmayer</w:t>
      </w:r>
      <w:r>
        <w:rPr>
          <w:rFonts w:eastAsia="Calibri"/>
        </w:rPr>
        <w:t xml:space="preserve">, “Crimes of War, Crimes of Peace: Destruction of Libraries during and after the Balkan Wars of 1990”, </w:t>
      </w:r>
      <w:r>
        <w:rPr>
          <w:rFonts w:eastAsia="Calibri"/>
          <w:i/>
          <w:iCs/>
        </w:rPr>
        <w:t xml:space="preserve">Library Trends; </w:t>
      </w:r>
      <w:r>
        <w:rPr>
          <w:rFonts w:eastAsia="Calibri"/>
        </w:rPr>
        <w:t>summer 2007; Vol. 56, No. 1, pp. 107-132.</w:t>
      </w:r>
    </w:p>
    <w:p w:rsidR="003710EB" w:rsidRDefault="003710EB" w:rsidP="003710EB">
      <w:pPr>
        <w:autoSpaceDE w:val="0"/>
        <w:autoSpaceDN w:val="0"/>
        <w:bidi w:val="0"/>
        <w:adjustRightInd w:val="0"/>
        <w:rPr>
          <w:b/>
          <w:bCs/>
          <w:rtl/>
        </w:rPr>
      </w:pPr>
    </w:p>
    <w:p w:rsidR="008860B4" w:rsidRDefault="008860B4" w:rsidP="008860B4">
      <w:pPr>
        <w:autoSpaceDE w:val="0"/>
        <w:autoSpaceDN w:val="0"/>
        <w:bidi w:val="0"/>
        <w:adjustRightInd w:val="0"/>
        <w:rPr>
          <w:b/>
          <w:bCs/>
        </w:rPr>
      </w:pPr>
    </w:p>
    <w:p w:rsidR="003710EB" w:rsidRDefault="00B71B73" w:rsidP="003710EB">
      <w:pPr>
        <w:rPr>
          <w:b/>
          <w:bCs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6</w:t>
      </w:r>
      <w:r w:rsidR="003710EB">
        <w:rPr>
          <w:rFonts w:hint="cs"/>
          <w:b/>
          <w:bCs/>
          <w:sz w:val="28"/>
          <w:szCs w:val="28"/>
          <w:u w:val="single"/>
          <w:rtl/>
        </w:rPr>
        <w:t xml:space="preserve">. התערבות בינלאומית – </w:t>
      </w:r>
      <w:r w:rsidR="003710EB">
        <w:rPr>
          <w:b/>
          <w:bCs/>
          <w:sz w:val="28"/>
          <w:szCs w:val="28"/>
          <w:u w:val="single"/>
        </w:rPr>
        <w:t>EU</w:t>
      </w:r>
      <w:r w:rsidR="003710EB">
        <w:rPr>
          <w:rFonts w:hint="cs"/>
          <w:b/>
          <w:bCs/>
          <w:sz w:val="28"/>
          <w:szCs w:val="28"/>
          <w:u w:val="single"/>
          <w:rtl/>
        </w:rPr>
        <w:t xml:space="preserve">, </w:t>
      </w:r>
      <w:r w:rsidR="003710EB">
        <w:rPr>
          <w:b/>
          <w:bCs/>
          <w:sz w:val="28"/>
          <w:szCs w:val="28"/>
          <w:u w:val="single"/>
        </w:rPr>
        <w:t>UN</w:t>
      </w:r>
      <w:r w:rsidR="003710EB">
        <w:rPr>
          <w:rFonts w:hint="cs"/>
          <w:b/>
          <w:bCs/>
          <w:sz w:val="28"/>
          <w:szCs w:val="28"/>
          <w:u w:val="single"/>
          <w:rtl/>
        </w:rPr>
        <w:t xml:space="preserve"> ו-</w:t>
      </w:r>
      <w:r w:rsidR="003710EB">
        <w:rPr>
          <w:b/>
          <w:bCs/>
          <w:sz w:val="28"/>
          <w:szCs w:val="28"/>
          <w:u w:val="single"/>
        </w:rPr>
        <w:t>NATO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 xml:space="preserve">שיעור </w:t>
      </w:r>
      <w:r w:rsidR="00B71B73" w:rsidRPr="004B6865">
        <w:rPr>
          <w:rFonts w:hint="cs"/>
          <w:b/>
          <w:bCs/>
          <w:color w:val="FF0000"/>
          <w:rtl/>
        </w:rPr>
        <w:t>9</w:t>
      </w:r>
      <w:r>
        <w:rPr>
          <w:rFonts w:hint="cs"/>
          <w:b/>
          <w:bCs/>
          <w:rtl/>
        </w:rPr>
        <w:t xml:space="preserve"> </w:t>
      </w:r>
    </w:p>
    <w:p w:rsidR="00E44112" w:rsidRDefault="003710EB" w:rsidP="003710EB">
      <w:pPr>
        <w:bidi w:val="0"/>
      </w:pPr>
      <w:r>
        <w:rPr>
          <w:b/>
          <w:bCs/>
        </w:rPr>
        <w:t xml:space="preserve">Dana H. Allin, </w:t>
      </w:r>
      <w:r>
        <w:t xml:space="preserve">NATO’s Balkan Interventions, Oxford University Press for The International Institute for Strategic Studies, </w:t>
      </w:r>
      <w:r>
        <w:rPr>
          <w:i/>
          <w:iCs/>
        </w:rPr>
        <w:t>Adelphi Paper</w:t>
      </w:r>
      <w:r>
        <w:t>, 347, 2002, pp. 13-33, 47-67.</w:t>
      </w:r>
    </w:p>
    <w:p w:rsidR="00E44112" w:rsidRDefault="00E44112" w:rsidP="00E44112">
      <w:pPr>
        <w:jc w:val="right"/>
        <w:rPr>
          <w:rFonts w:eastAsia="Calibri"/>
        </w:rPr>
      </w:pPr>
      <w:r>
        <w:rPr>
          <w:rFonts w:eastAsia="Calibri"/>
          <w:b/>
          <w:bCs/>
        </w:rPr>
        <w:t>Alex N. Dragnich</w:t>
      </w:r>
      <w:r>
        <w:rPr>
          <w:rFonts w:eastAsia="Calibri"/>
        </w:rPr>
        <w:t xml:space="preserve">, The Dayton Accords: Symbol of Great Powers Failing, </w:t>
      </w:r>
      <w:r>
        <w:rPr>
          <w:rFonts w:eastAsia="Calibri"/>
          <w:i/>
          <w:iCs/>
        </w:rPr>
        <w:t>Mediterranean Quarterly</w:t>
      </w:r>
      <w:r>
        <w:rPr>
          <w:rFonts w:eastAsia="Calibri"/>
        </w:rPr>
        <w:t>, Summer 2006, pp. 48-52.</w:t>
      </w:r>
    </w:p>
    <w:p w:rsidR="003710EB" w:rsidRDefault="003710EB" w:rsidP="003710EB">
      <w:pPr>
        <w:bidi w:val="0"/>
        <w:jc w:val="right"/>
        <w:rPr>
          <w:rFonts w:eastAsia="Calibri"/>
          <w:rtl/>
        </w:rPr>
      </w:pPr>
      <w:r>
        <w:rPr>
          <w:rFonts w:eastAsia="Calibri" w:hint="cs"/>
          <w:b/>
          <w:bCs/>
          <w:rtl/>
        </w:rPr>
        <w:t>ויליאם היצ'קוק</w:t>
      </w:r>
      <w:r>
        <w:rPr>
          <w:rFonts w:eastAsia="Calibri" w:hint="cs"/>
          <w:rtl/>
        </w:rPr>
        <w:t xml:space="preserve">, 2003, </w:t>
      </w:r>
      <w:r>
        <w:rPr>
          <w:rFonts w:eastAsia="Calibri" w:hint="cs"/>
          <w:i/>
          <w:iCs/>
          <w:rtl/>
        </w:rPr>
        <w:t>המאבק על אירופה; ההיסטוריה הסוערת של יבשת מחולקת, 1945 עד ימינו</w:t>
      </w:r>
      <w:r>
        <w:rPr>
          <w:rFonts w:eastAsia="Calibri" w:hint="cs"/>
          <w:rtl/>
        </w:rPr>
        <w:t>, עם עובד/ ספרית אפקים, עמ' 425-437.</w:t>
      </w:r>
    </w:p>
    <w:p w:rsidR="00E046DD" w:rsidRDefault="00E046DD" w:rsidP="00E046DD">
      <w:pPr>
        <w:bidi w:val="0"/>
        <w:jc w:val="center"/>
      </w:pPr>
      <w:r>
        <w:rPr>
          <w:rFonts w:hint="cs"/>
          <w:rtl/>
        </w:rPr>
        <w:t>הקרנה ודיון בסרט:</w:t>
      </w:r>
    </w:p>
    <w:p w:rsidR="00E046DD" w:rsidRDefault="00E046DD" w:rsidP="00E046DD">
      <w:pPr>
        <w:bidi w:val="0"/>
        <w:rPr>
          <w:rtl/>
        </w:rPr>
      </w:pPr>
      <w:r>
        <w:rPr>
          <w:b/>
          <w:bCs/>
          <w:i/>
          <w:iCs/>
        </w:rPr>
        <w:t>No Man's Land</w:t>
      </w:r>
      <w:r>
        <w:t>, 2001, Director: Danis Tanovic (US), 98 min.</w:t>
      </w:r>
    </w:p>
    <w:p w:rsidR="00E046DD" w:rsidRDefault="00E046DD" w:rsidP="00E046DD">
      <w:pPr>
        <w:bidi w:val="0"/>
        <w:jc w:val="right"/>
        <w:rPr>
          <w:rtl/>
        </w:rPr>
      </w:pPr>
    </w:p>
    <w:p w:rsidR="003710EB" w:rsidRDefault="003710EB" w:rsidP="003710EB">
      <w:pPr>
        <w:rPr>
          <w:u w:val="single"/>
        </w:rPr>
      </w:pPr>
    </w:p>
    <w:p w:rsidR="0078787C" w:rsidRDefault="0078787C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</w:rPr>
      </w:pP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א. תביעות מתחרות על בוסניה-הרצגובינה</w:t>
      </w:r>
    </w:p>
    <w:p w:rsidR="003710EB" w:rsidRDefault="003710EB" w:rsidP="00B71B73">
      <w:pPr>
        <w:rPr>
          <w:rFonts w:eastAsia="Calibri"/>
          <w:b/>
          <w:bCs/>
          <w:rtl/>
        </w:rPr>
      </w:pPr>
      <w:r w:rsidRPr="004B6865">
        <w:rPr>
          <w:rFonts w:eastAsia="Calibri" w:hint="cs"/>
          <w:b/>
          <w:bCs/>
          <w:color w:val="FF0000"/>
          <w:rtl/>
        </w:rPr>
        <w:t xml:space="preserve">שיעור </w:t>
      </w:r>
      <w:r w:rsidR="00B71B73" w:rsidRPr="004B6865">
        <w:rPr>
          <w:rFonts w:eastAsia="Calibri" w:hint="cs"/>
          <w:b/>
          <w:bCs/>
          <w:color w:val="FF0000"/>
          <w:rtl/>
        </w:rPr>
        <w:t>10</w:t>
      </w:r>
      <w:r w:rsidRPr="004B6865">
        <w:rPr>
          <w:rFonts w:eastAsia="Calibri" w:hint="cs"/>
          <w:b/>
          <w:bCs/>
          <w:color w:val="FF0000"/>
          <w:rtl/>
        </w:rPr>
        <w:t xml:space="preserve"> </w:t>
      </w:r>
    </w:p>
    <w:p w:rsidR="003710EB" w:rsidRDefault="003710EB" w:rsidP="003710EB">
      <w:pPr>
        <w:jc w:val="right"/>
      </w:pPr>
      <w:r>
        <w:rPr>
          <w:rFonts w:eastAsia="Calibri"/>
          <w:b/>
          <w:bCs/>
        </w:rPr>
        <w:t xml:space="preserve">Carrie Manning and Miljenko Antiæ, </w:t>
      </w:r>
      <w:r>
        <w:rPr>
          <w:rFonts w:eastAsia="Calibri"/>
        </w:rPr>
        <w:t>The Limits of Electoral Engineering,</w:t>
      </w:r>
      <w:r>
        <w:rPr>
          <w:rFonts w:eastAsia="Calibri"/>
          <w:i/>
          <w:iCs/>
        </w:rPr>
        <w:t xml:space="preserve"> Journal of Democracy</w:t>
      </w:r>
      <w:r>
        <w:rPr>
          <w:rFonts w:eastAsia="Calibri"/>
        </w:rPr>
        <w:t>, Volume 14, Number 3 July 2003, pp. 45-59.</w:t>
      </w:r>
      <w:r>
        <w:t xml:space="preserve"> </w:t>
      </w:r>
    </w:p>
    <w:p w:rsidR="003710EB" w:rsidRDefault="003710EB" w:rsidP="003710EB">
      <w:pPr>
        <w:jc w:val="right"/>
        <w:rPr>
          <w:rFonts w:eastAsia="Calibri"/>
        </w:rPr>
      </w:pPr>
      <w:r>
        <w:rPr>
          <w:rFonts w:eastAsia="Calibri"/>
          <w:b/>
          <w:bCs/>
        </w:rPr>
        <w:t>Gerald Knaus and Felix Martin</w:t>
      </w:r>
      <w:r>
        <w:t xml:space="preserve">, Travails of the European Raj, </w:t>
      </w:r>
      <w:r>
        <w:rPr>
          <w:rFonts w:eastAsia="Calibri"/>
          <w:i/>
          <w:iCs/>
        </w:rPr>
        <w:t>Journal of Democracy</w:t>
      </w:r>
      <w:r>
        <w:rPr>
          <w:rFonts w:eastAsia="Calibri"/>
        </w:rPr>
        <w:t xml:space="preserve">, </w:t>
      </w:r>
    </w:p>
    <w:p w:rsidR="003710EB" w:rsidRDefault="003710EB" w:rsidP="003710EB">
      <w:pPr>
        <w:jc w:val="right"/>
        <w:rPr>
          <w:u w:val="single"/>
        </w:rPr>
      </w:pPr>
      <w:r>
        <w:rPr>
          <w:rFonts w:eastAsia="Calibri"/>
        </w:rPr>
        <w:t>Volume 14, Number 3 July 2003, pp. 60-74.</w:t>
      </w:r>
      <w:r>
        <w:t xml:space="preserve"> </w:t>
      </w:r>
    </w:p>
    <w:p w:rsidR="003710EB" w:rsidRDefault="003710EB" w:rsidP="003710EB">
      <w:pPr>
        <w:bidi w:val="0"/>
      </w:pPr>
      <w:r>
        <w:t>----------------------------------------</w:t>
      </w:r>
    </w:p>
    <w:p w:rsidR="003710EB" w:rsidRDefault="003710EB" w:rsidP="003710EB">
      <w:pPr>
        <w:jc w:val="right"/>
        <w:rPr>
          <w:rFonts w:eastAsia="Calibri"/>
        </w:rPr>
      </w:pPr>
      <w:r>
        <w:rPr>
          <w:rFonts w:eastAsia="Calibri"/>
          <w:b/>
          <w:bCs/>
        </w:rPr>
        <w:t>*Kaoru Okuizimi</w:t>
      </w:r>
      <w:r>
        <w:rPr>
          <w:rFonts w:eastAsia="Calibri"/>
        </w:rPr>
        <w:t xml:space="preserve">, Peacebuilding Mission: Lessons from the UN Mission in Bosnia and Hercegovina, </w:t>
      </w:r>
      <w:r>
        <w:rPr>
          <w:rFonts w:eastAsia="Calibri"/>
          <w:i/>
          <w:iCs/>
        </w:rPr>
        <w:t>Human Rights Quarterly</w:t>
      </w:r>
      <w:r>
        <w:rPr>
          <w:rFonts w:eastAsia="Calibri"/>
        </w:rPr>
        <w:t xml:space="preserve">, No. 24, pp. 721-735. </w:t>
      </w:r>
    </w:p>
    <w:p w:rsidR="003710EB" w:rsidRDefault="003710EB" w:rsidP="003710EB">
      <w:pPr>
        <w:jc w:val="right"/>
        <w:rPr>
          <w:rtl/>
        </w:rPr>
      </w:pPr>
      <w:r>
        <w:t xml:space="preserve"> </w:t>
      </w:r>
    </w:p>
    <w:p w:rsidR="003710EB" w:rsidRDefault="003710EB" w:rsidP="003710EB">
      <w:pPr>
        <w:jc w:val="right"/>
      </w:pPr>
    </w:p>
    <w:p w:rsidR="003710EB" w:rsidRDefault="003710EB" w:rsidP="00E046DD">
      <w:pPr>
        <w:rPr>
          <w:u w:val="single"/>
          <w:rtl/>
        </w:rPr>
      </w:pPr>
      <w:r>
        <w:rPr>
          <w:rFonts w:hint="cs"/>
          <w:u w:val="single"/>
          <w:rtl/>
        </w:rPr>
        <w:t xml:space="preserve">ב. קוסובה – </w:t>
      </w:r>
      <w:r w:rsidR="00E046DD">
        <w:rPr>
          <w:rFonts w:hint="cs"/>
          <w:u w:val="single"/>
          <w:rtl/>
        </w:rPr>
        <w:t>מ</w:t>
      </w:r>
      <w:r>
        <w:rPr>
          <w:rFonts w:hint="cs"/>
          <w:u w:val="single"/>
          <w:rtl/>
        </w:rPr>
        <w:t xml:space="preserve">המאבק על הסטאטוס </w:t>
      </w:r>
      <w:r w:rsidR="00E046DD">
        <w:rPr>
          <w:rFonts w:hint="cs"/>
          <w:u w:val="single"/>
          <w:rtl/>
        </w:rPr>
        <w:t>להקמת המדינה</w:t>
      </w:r>
      <w:r>
        <w:rPr>
          <w:rFonts w:hint="cs"/>
          <w:u w:val="single"/>
          <w:rtl/>
        </w:rPr>
        <w:t xml:space="preserve"> 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>שיעור 1</w:t>
      </w:r>
      <w:r w:rsidR="00B71B73" w:rsidRPr="004B6865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James Ron</w:t>
      </w:r>
      <w:r>
        <w:t xml:space="preserve">, </w:t>
      </w:r>
      <w:r>
        <w:rPr>
          <w:i/>
          <w:iCs/>
        </w:rPr>
        <w:t>Frontiers and Ghetos: State Violence in Serbia and Israel</w:t>
      </w:r>
      <w:r>
        <w:t>, University of California Press, 2003, Chap. 5, pp. 87-111.</w:t>
      </w:r>
    </w:p>
    <w:p w:rsidR="003710EB" w:rsidRDefault="003710EB" w:rsidP="003710EB">
      <w:pPr>
        <w:bidi w:val="0"/>
        <w:jc w:val="right"/>
        <w:rPr>
          <w:rtl/>
        </w:rPr>
      </w:pPr>
      <w:r>
        <w:rPr>
          <w:rFonts w:eastAsia="Calibri" w:hint="cs"/>
          <w:b/>
          <w:bCs/>
          <w:rtl/>
        </w:rPr>
        <w:t>ויליאם היצ'קוק</w:t>
      </w:r>
      <w:r>
        <w:rPr>
          <w:rFonts w:eastAsia="Calibri" w:hint="cs"/>
          <w:rtl/>
        </w:rPr>
        <w:t xml:space="preserve">, 2003, </w:t>
      </w:r>
      <w:r>
        <w:rPr>
          <w:rFonts w:eastAsia="Calibri" w:hint="cs"/>
          <w:i/>
          <w:iCs/>
          <w:rtl/>
        </w:rPr>
        <w:t>המאבק על אירופה; ההיסטוריה הסוערת של יבשת מחולקת, 1945 עד ימינו</w:t>
      </w:r>
      <w:r>
        <w:rPr>
          <w:rFonts w:eastAsia="Calibri" w:hint="cs"/>
          <w:rtl/>
        </w:rPr>
        <w:t>, עם עובד/ ספרית אפקים, עמ' 438-444.</w:t>
      </w:r>
    </w:p>
    <w:p w:rsidR="003710EB" w:rsidRDefault="003710EB" w:rsidP="003710EB">
      <w:pPr>
        <w:jc w:val="right"/>
        <w:rPr>
          <w:rFonts w:eastAsia="Calibri"/>
        </w:rPr>
      </w:pPr>
      <w:r>
        <w:rPr>
          <w:b/>
          <w:bCs/>
        </w:rPr>
        <w:t>Gordon N. Bardos,</w:t>
      </w:r>
      <w:r>
        <w:t xml:space="preserve"> Containing Kosovo, </w:t>
      </w:r>
      <w:r>
        <w:rPr>
          <w:rFonts w:eastAsia="Calibri"/>
          <w:i/>
          <w:iCs/>
        </w:rPr>
        <w:t>Mediterranean Quarterly</w:t>
      </w:r>
      <w:r>
        <w:rPr>
          <w:rFonts w:eastAsia="Calibri"/>
        </w:rPr>
        <w:t>, Summer 2005, pp. 17-43.</w:t>
      </w:r>
    </w:p>
    <w:p w:rsidR="003710EB" w:rsidRDefault="003710EB" w:rsidP="003710EB">
      <w:pPr>
        <w:bidi w:val="0"/>
      </w:pPr>
      <w:r>
        <w:t>---------------------------------------</w:t>
      </w:r>
    </w:p>
    <w:p w:rsidR="003710EB" w:rsidRDefault="003710EB" w:rsidP="003710EB">
      <w:pPr>
        <w:bidi w:val="0"/>
      </w:pPr>
      <w:r>
        <w:t xml:space="preserve">* </w:t>
      </w:r>
      <w:r>
        <w:rPr>
          <w:b/>
          <w:bCs/>
        </w:rPr>
        <w:t xml:space="preserve">Read </w:t>
      </w:r>
      <w:r>
        <w:t>the</w:t>
      </w:r>
      <w:r>
        <w:rPr>
          <w:i/>
          <w:iCs/>
        </w:rPr>
        <w:t xml:space="preserve"> Federal Republic of Yugoslavia: Detentions and Abuse in Kosovo</w:t>
      </w:r>
      <w:r>
        <w:t xml:space="preserve">.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  <w:r>
        <w:t>: Human Rights Watch, 1998.</w:t>
      </w:r>
    </w:p>
    <w:p w:rsidR="003710EB" w:rsidRDefault="003710EB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</w:rPr>
      </w:pPr>
    </w:p>
    <w:p w:rsidR="003710EB" w:rsidRDefault="003710EB" w:rsidP="003710EB"/>
    <w:p w:rsidR="003710EB" w:rsidRDefault="00B71B73" w:rsidP="003710EB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7</w:t>
      </w:r>
      <w:r w:rsidR="003710EB">
        <w:rPr>
          <w:rFonts w:hint="cs"/>
          <w:b/>
          <w:bCs/>
          <w:sz w:val="28"/>
          <w:szCs w:val="28"/>
          <w:u w:val="single"/>
          <w:rtl/>
        </w:rPr>
        <w:t>. בשם הצדק וזכויות האדם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>שיעור 1</w:t>
      </w:r>
      <w:r w:rsidR="00B71B73" w:rsidRPr="004B6865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autoSpaceDE w:val="0"/>
        <w:autoSpaceDN w:val="0"/>
        <w:bidi w:val="0"/>
        <w:adjustRightInd w:val="0"/>
        <w:rPr>
          <w:rFonts w:eastAsia="Calibri"/>
        </w:rPr>
      </w:pPr>
      <w:r>
        <w:rPr>
          <w:b/>
          <w:bCs/>
        </w:rPr>
        <w:t xml:space="preserve">Richard Ashby Wilson, </w:t>
      </w:r>
      <w:r>
        <w:rPr>
          <w:rFonts w:eastAsia="Calibri"/>
        </w:rPr>
        <w:t xml:space="preserve">Judging History: The Historical Record of the International Criminal Tribunal for the Former Yugoslavia, </w:t>
      </w:r>
      <w:r>
        <w:rPr>
          <w:rFonts w:eastAsia="Calibri"/>
          <w:i/>
          <w:iCs/>
        </w:rPr>
        <w:t>Human Rights Quarterly</w:t>
      </w:r>
      <w:r>
        <w:rPr>
          <w:rFonts w:eastAsia="Calibri"/>
        </w:rPr>
        <w:t>, No. 27, 2005, pp. 908–942.</w:t>
      </w:r>
    </w:p>
    <w:p w:rsidR="008D7939" w:rsidRDefault="008D7939" w:rsidP="008D7939">
      <w:pPr>
        <w:bidi w:val="0"/>
        <w:rPr>
          <w:rFonts w:eastAsia="Calibri"/>
        </w:rPr>
      </w:pPr>
      <w:r>
        <w:rPr>
          <w:b/>
          <w:bCs/>
        </w:rPr>
        <w:t>Katie Zoglin</w:t>
      </w:r>
      <w:r>
        <w:t>, “The future of War Crimes, Prosecutions in the Former Yugoslavia: Accountability or Junk Justice,”</w:t>
      </w:r>
      <w:r>
        <w:rPr>
          <w:i/>
          <w:iCs/>
        </w:rPr>
        <w:t xml:space="preserve"> </w:t>
      </w:r>
      <w:r>
        <w:rPr>
          <w:rFonts w:eastAsia="Calibri"/>
          <w:i/>
          <w:iCs/>
        </w:rPr>
        <w:t>Human Rights Quarterly,</w:t>
      </w:r>
      <w:r>
        <w:rPr>
          <w:rFonts w:eastAsia="Calibri"/>
        </w:rPr>
        <w:t xml:space="preserve"> No.</w:t>
      </w:r>
      <w:r>
        <w:rPr>
          <w:rFonts w:eastAsia="Calibri"/>
          <w:i/>
          <w:iCs/>
        </w:rPr>
        <w:t xml:space="preserve"> </w:t>
      </w:r>
      <w:r>
        <w:rPr>
          <w:rFonts w:eastAsia="Calibri"/>
        </w:rPr>
        <w:t>27, 2005, pp. 41-77.</w:t>
      </w:r>
    </w:p>
    <w:p w:rsidR="003710EB" w:rsidRDefault="003710EB" w:rsidP="003710EB">
      <w:pPr>
        <w:bidi w:val="0"/>
        <w:rPr>
          <w:b/>
          <w:bCs/>
        </w:rPr>
      </w:pPr>
      <w:r>
        <w:rPr>
          <w:b/>
          <w:bCs/>
        </w:rPr>
        <w:t>--------------------------------------</w:t>
      </w:r>
    </w:p>
    <w:p w:rsidR="008D7939" w:rsidRDefault="008D7939" w:rsidP="008D7939">
      <w:pPr>
        <w:bidi w:val="0"/>
        <w:rPr>
          <w:b/>
        </w:rPr>
      </w:pPr>
      <w:r>
        <w:rPr>
          <w:b/>
          <w:bCs/>
        </w:rPr>
        <w:t xml:space="preserve">Read </w:t>
      </w:r>
      <w:r>
        <w:t>from the International Criminal Tribunal on the Former Yugoslavia’s website:</w:t>
      </w:r>
    </w:p>
    <w:p w:rsidR="008D7939" w:rsidRDefault="00BE3922" w:rsidP="008D7939">
      <w:pPr>
        <w:bidi w:val="0"/>
      </w:pPr>
      <w:hyperlink r:id="rId9" w:history="1">
        <w:r w:rsidR="008D7939">
          <w:rPr>
            <w:rStyle w:val="Hyperlink"/>
          </w:rPr>
          <w:t>http://www.un.org/icty/ju</w:t>
        </w:r>
        <w:bookmarkStart w:id="1" w:name="_Hlt523395287"/>
        <w:r w:rsidR="008D7939">
          <w:rPr>
            <w:rStyle w:val="Hyperlink"/>
          </w:rPr>
          <w:t>dgement.htm</w:t>
        </w:r>
        <w:bookmarkEnd w:id="1"/>
      </w:hyperlink>
      <w:r w:rsidR="008D7939">
        <w:rPr>
          <w:b/>
        </w:rPr>
        <w:t xml:space="preserve"> </w:t>
      </w:r>
      <w:r w:rsidR="008D7939">
        <w:t xml:space="preserve">(Krstic IT-98-33 “Srebrenica Judgment", pp. 1-32). </w:t>
      </w:r>
    </w:p>
    <w:p w:rsidR="003710EB" w:rsidRDefault="003710EB" w:rsidP="003710EB">
      <w:pPr>
        <w:bidi w:val="0"/>
        <w:rPr>
          <w:b/>
          <w:bCs/>
          <w:sz w:val="28"/>
          <w:szCs w:val="28"/>
          <w:u w:val="single"/>
        </w:rPr>
      </w:pPr>
    </w:p>
    <w:p w:rsidR="003710EB" w:rsidRDefault="003710EB" w:rsidP="00B71B73">
      <w:pPr>
        <w:bidi w:val="0"/>
        <w:jc w:val="right"/>
        <w:rPr>
          <w:rFonts w:eastAsia="Calibri"/>
          <w:b/>
          <w:bCs/>
        </w:rPr>
      </w:pPr>
      <w:r>
        <w:rPr>
          <w:rFonts w:eastAsia="Calibri" w:hint="cs"/>
          <w:b/>
          <w:bCs/>
          <w:rtl/>
        </w:rPr>
        <w:t xml:space="preserve"> </w:t>
      </w:r>
    </w:p>
    <w:p w:rsidR="003710EB" w:rsidRDefault="003710EB" w:rsidP="003710EB">
      <w:pPr>
        <w:tabs>
          <w:tab w:val="center" w:pos="4680"/>
          <w:tab w:val="left" w:pos="8340"/>
        </w:tabs>
        <w:bidi w:val="0"/>
      </w:pPr>
      <w:r>
        <w:rPr>
          <w:rFonts w:hint="cs"/>
          <w:rtl/>
        </w:rPr>
        <w:tab/>
        <w:t>הקרנה ודיון בסרט:</w:t>
      </w:r>
      <w:r>
        <w:rPr>
          <w:rFonts w:hint="cs"/>
          <w:rtl/>
        </w:rPr>
        <w:tab/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  <w:i/>
          <w:iCs/>
        </w:rPr>
        <w:t>La List de Carla</w:t>
      </w:r>
      <w:r>
        <w:rPr>
          <w:b/>
          <w:bCs/>
        </w:rPr>
        <w:t>,</w:t>
      </w:r>
      <w:r>
        <w:t xml:space="preserve"> 2006, Director: Marcel Schupbach (Suisse), 95 min.</w:t>
      </w:r>
    </w:p>
    <w:p w:rsidR="003710EB" w:rsidRDefault="003710EB" w:rsidP="003710EB">
      <w:pPr>
        <w:bidi w:val="0"/>
      </w:pPr>
    </w:p>
    <w:p w:rsidR="003710EB" w:rsidRDefault="003710EB" w:rsidP="003710EB">
      <w:pPr>
        <w:rPr>
          <w:u w:val="single"/>
          <w:rtl/>
        </w:rPr>
      </w:pPr>
    </w:p>
    <w:p w:rsidR="00B71B73" w:rsidRDefault="00B71B73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  <w:rtl/>
        </w:rPr>
      </w:pPr>
    </w:p>
    <w:p w:rsidR="008860B4" w:rsidRDefault="008860B4" w:rsidP="003710EB">
      <w:pPr>
        <w:rPr>
          <w:u w:val="single"/>
        </w:rPr>
      </w:pPr>
    </w:p>
    <w:p w:rsidR="003710EB" w:rsidRDefault="003710EB" w:rsidP="003710EB">
      <w:pPr>
        <w:rPr>
          <w:b/>
          <w:bCs/>
          <w:sz w:val="28"/>
          <w:szCs w:val="28"/>
          <w:u w:val="single"/>
        </w:rPr>
      </w:pPr>
    </w:p>
    <w:p w:rsidR="003710EB" w:rsidRDefault="00B71B73" w:rsidP="003710EB">
      <w:p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8</w:t>
      </w:r>
      <w:r w:rsidR="003710EB">
        <w:rPr>
          <w:rFonts w:hint="cs"/>
          <w:b/>
          <w:bCs/>
          <w:sz w:val="28"/>
          <w:szCs w:val="28"/>
          <w:u w:val="single"/>
          <w:rtl/>
        </w:rPr>
        <w:t>. תקופת המעבר (</w:t>
      </w:r>
      <w:r w:rsidR="003710EB">
        <w:rPr>
          <w:b/>
          <w:bCs/>
          <w:sz w:val="28"/>
          <w:szCs w:val="28"/>
          <w:u w:val="single"/>
        </w:rPr>
        <w:t>transition period</w:t>
      </w:r>
      <w:r w:rsidR="003710EB">
        <w:rPr>
          <w:rFonts w:hint="cs"/>
          <w:b/>
          <w:bCs/>
          <w:sz w:val="28"/>
          <w:szCs w:val="28"/>
          <w:u w:val="single"/>
          <w:rtl/>
        </w:rPr>
        <w:t>) ותהליכי דמוקרטיזציה</w:t>
      </w:r>
    </w:p>
    <w:p w:rsidR="003710EB" w:rsidRDefault="003710EB" w:rsidP="00B71B73">
      <w:pPr>
        <w:bidi w:val="0"/>
        <w:jc w:val="right"/>
        <w:rPr>
          <w:b/>
          <w:bCs/>
          <w:rtl/>
        </w:rPr>
      </w:pPr>
      <w:r w:rsidRPr="004B6865">
        <w:rPr>
          <w:rFonts w:hint="cs"/>
          <w:b/>
          <w:bCs/>
          <w:color w:val="FF0000"/>
          <w:rtl/>
        </w:rPr>
        <w:t>שיעור 1</w:t>
      </w:r>
      <w:r w:rsidR="00B71B73" w:rsidRPr="004B6865">
        <w:rPr>
          <w:rFonts w:hint="cs"/>
          <w:b/>
          <w:bCs/>
          <w:color w:val="FF0000"/>
          <w:rtl/>
        </w:rPr>
        <w:t>3</w:t>
      </w:r>
      <w:r>
        <w:rPr>
          <w:rFonts w:hint="cs"/>
          <w:b/>
          <w:bCs/>
          <w:rtl/>
        </w:rPr>
        <w:t xml:space="preserve"> 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 xml:space="preserve">Attila Agh, </w:t>
      </w:r>
      <w:r>
        <w:t xml:space="preserve">“Process of Democratization in the East-Central European and Balkan State: Sovereignty-related Conflicts in the Context of Europeanization", </w:t>
      </w:r>
      <w:r>
        <w:rPr>
          <w:i/>
          <w:iCs/>
        </w:rPr>
        <w:t>Communist and Post-communist Studies</w:t>
      </w:r>
      <w:r>
        <w:t>, 32, 1999, pp. 263-279</w:t>
      </w:r>
    </w:p>
    <w:p w:rsidR="003710EB" w:rsidRDefault="003710EB" w:rsidP="003710EB">
      <w:pPr>
        <w:bidi w:val="0"/>
      </w:pP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א. סלובניה במעבר מהיר לדמוקרטיה</w:t>
      </w:r>
    </w:p>
    <w:p w:rsidR="003710EB" w:rsidRDefault="003710EB" w:rsidP="004F39CC">
      <w:pPr>
        <w:bidi w:val="0"/>
        <w:rPr>
          <w:b/>
          <w:bCs/>
          <w:rtl/>
        </w:rPr>
      </w:pPr>
      <w:r>
        <w:rPr>
          <w:b/>
          <w:bCs/>
        </w:rPr>
        <w:t xml:space="preserve">Meeting with the </w:t>
      </w:r>
      <w:r w:rsidR="004F39CC">
        <w:rPr>
          <w:b/>
          <w:bCs/>
        </w:rPr>
        <w:t>Slovenian Ambassador in Israel</w:t>
      </w:r>
    </w:p>
    <w:p w:rsidR="003710EB" w:rsidRDefault="003710EB" w:rsidP="003710EB">
      <w:pPr>
        <w:bidi w:val="0"/>
      </w:pPr>
      <w:r>
        <w:rPr>
          <w:b/>
          <w:bCs/>
        </w:rPr>
        <w:t>Anton Bebler</w:t>
      </w:r>
      <w:r>
        <w:t xml:space="preserve">, “Slovenia’s Smooth Transition,” </w:t>
      </w:r>
      <w:r>
        <w:rPr>
          <w:i/>
          <w:iCs/>
        </w:rPr>
        <w:t>Journal of Democracy</w:t>
      </w:r>
      <w:r>
        <w:t xml:space="preserve">, Vol. 13, No. 1, 2002, pp. 127-140. </w:t>
      </w:r>
    </w:p>
    <w:p w:rsidR="003710EB" w:rsidRDefault="003710EB" w:rsidP="003710EB">
      <w:pPr>
        <w:bidi w:val="0"/>
        <w:rPr>
          <w:rtl/>
        </w:rPr>
      </w:pP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ב. קרואטיה הפוסט-סוציאליסטית – האומנם דמוקרטיה אתנית?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Marina Ottaway and Gideon Maltz</w:t>
      </w:r>
      <w:r>
        <w:t xml:space="preserve">, “Croatia’s Second Transition and the International Community,” </w:t>
      </w:r>
      <w:r>
        <w:rPr>
          <w:i/>
        </w:rPr>
        <w:t xml:space="preserve">Current History, </w:t>
      </w:r>
      <w:r>
        <w:t>November 2001, pp. 375-380.</w:t>
      </w:r>
    </w:p>
    <w:p w:rsidR="003710EB" w:rsidRDefault="003710EB" w:rsidP="003710EB">
      <w:pPr>
        <w:bidi w:val="0"/>
        <w:rPr>
          <w:rtl/>
        </w:rPr>
      </w:pPr>
      <w:r>
        <w:rPr>
          <w:b/>
          <w:bCs/>
        </w:rPr>
        <w:t>Slavenka Drakulic</w:t>
      </w:r>
      <w:r>
        <w:t xml:space="preserve">, “The smell of independence” &amp; “It’s hard to kill a man”, </w:t>
      </w:r>
      <w:r>
        <w:rPr>
          <w:i/>
          <w:iCs/>
        </w:rPr>
        <w:t>Balkan Express</w:t>
      </w:r>
      <w:r>
        <w:rPr>
          <w:bCs/>
          <w:i/>
          <w:iCs/>
        </w:rPr>
        <w:t xml:space="preserve">, </w:t>
      </w:r>
      <w:r>
        <w:t>1993, pp. 53-67.</w:t>
      </w:r>
    </w:p>
    <w:p w:rsidR="003710EB" w:rsidRDefault="003710EB" w:rsidP="003710EB">
      <w:pPr>
        <w:bidi w:val="0"/>
      </w:pPr>
    </w:p>
    <w:p w:rsidR="003710EB" w:rsidRPr="004B6865" w:rsidRDefault="004F39CC" w:rsidP="004F39CC">
      <w:pPr>
        <w:bidi w:val="0"/>
        <w:jc w:val="right"/>
        <w:rPr>
          <w:rFonts w:eastAsia="Calibri"/>
          <w:color w:val="FF0000"/>
          <w:u w:val="single"/>
          <w:rtl/>
        </w:rPr>
      </w:pPr>
      <w:r w:rsidRPr="004B6865">
        <w:rPr>
          <w:rFonts w:eastAsia="Calibri" w:hint="cs"/>
          <w:b/>
          <w:bCs/>
          <w:color w:val="FF0000"/>
          <w:rtl/>
        </w:rPr>
        <w:t>שיעור 14</w:t>
      </w:r>
    </w:p>
    <w:p w:rsidR="003710EB" w:rsidRDefault="003710EB" w:rsidP="003710EB">
      <w:pPr>
        <w:bidi w:val="0"/>
        <w:jc w:val="right"/>
        <w:rPr>
          <w:rFonts w:eastAsia="Calibri"/>
          <w:u w:val="single"/>
          <w:rtl/>
        </w:rPr>
      </w:pPr>
      <w:r>
        <w:rPr>
          <w:rFonts w:eastAsia="Calibri" w:hint="cs"/>
          <w:u w:val="single"/>
          <w:rtl/>
        </w:rPr>
        <w:t>ג. סרביה אחרי מילושביץ</w:t>
      </w:r>
    </w:p>
    <w:p w:rsidR="004F39CC" w:rsidRDefault="004F39CC" w:rsidP="004F39CC">
      <w:pPr>
        <w:bidi w:val="0"/>
        <w:rPr>
          <w:b/>
          <w:bCs/>
          <w:color w:val="000000"/>
          <w:rtl/>
        </w:rPr>
      </w:pPr>
      <w:r>
        <w:rPr>
          <w:b/>
          <w:bCs/>
          <w:color w:val="000000"/>
        </w:rPr>
        <w:t>Meeting with the Serbian Ambassador in Israel</w:t>
      </w:r>
    </w:p>
    <w:p w:rsidR="003710EB" w:rsidRDefault="003710EB" w:rsidP="004F39CC">
      <w:pPr>
        <w:jc w:val="right"/>
      </w:pPr>
      <w:r>
        <w:rPr>
          <w:rFonts w:eastAsia="Calibri"/>
          <w:b/>
          <w:bCs/>
        </w:rPr>
        <w:t>Damjan de Krnjeviç-Miskoviç</w:t>
      </w:r>
      <w:r>
        <w:rPr>
          <w:rFonts w:eastAsia="Calibri"/>
        </w:rPr>
        <w:t xml:space="preserve">, “Serbia’s Prudent Revolution”, </w:t>
      </w:r>
      <w:r>
        <w:rPr>
          <w:rFonts w:eastAsia="Calibri"/>
          <w:i/>
          <w:iCs/>
        </w:rPr>
        <w:t>Journal of Democracy</w:t>
      </w:r>
      <w:r>
        <w:rPr>
          <w:rFonts w:eastAsia="Calibri"/>
        </w:rPr>
        <w:t>,  Vol. 12, No 3, July 2001, pp. 96-110.</w:t>
      </w:r>
    </w:p>
    <w:p w:rsidR="003710EB" w:rsidRDefault="003710EB" w:rsidP="003710EB">
      <w:pPr>
        <w:rPr>
          <w:u w:val="single"/>
        </w:rPr>
      </w:pPr>
      <w:r>
        <w:rPr>
          <w:rFonts w:hint="cs"/>
          <w:u w:val="single"/>
          <w:rtl/>
        </w:rPr>
        <w:t>ד. מקדוניה</w:t>
      </w:r>
      <w:r>
        <w:rPr>
          <w:rFonts w:hint="cs"/>
          <w:u w:val="single"/>
        </w:rPr>
        <w:t xml:space="preserve"> </w:t>
      </w:r>
      <w:r>
        <w:rPr>
          <w:rFonts w:hint="cs"/>
          <w:u w:val="single"/>
          <w:rtl/>
        </w:rPr>
        <w:t>ומונטנגרו בתקופת מעבר</w:t>
      </w:r>
    </w:p>
    <w:p w:rsidR="003710EB" w:rsidRDefault="003710EB" w:rsidP="004F39CC">
      <w:pPr>
        <w:bidi w:val="0"/>
        <w:rPr>
          <w:rtl/>
        </w:rPr>
      </w:pPr>
      <w:r>
        <w:rPr>
          <w:b/>
          <w:bCs/>
        </w:rPr>
        <w:t>Duncan Perry</w:t>
      </w:r>
      <w:r>
        <w:t xml:space="preserve">, “Macedonia: Melting Pot or Meltdown?” </w:t>
      </w:r>
      <w:r>
        <w:rPr>
          <w:i/>
        </w:rPr>
        <w:t xml:space="preserve">Current History, </w:t>
      </w:r>
      <w:r>
        <w:t>November 2001, pp. 362-368.</w:t>
      </w:r>
    </w:p>
    <w:p w:rsidR="003710EB" w:rsidRDefault="003710EB" w:rsidP="004F39CC">
      <w:pPr>
        <w:bidi w:val="0"/>
        <w:rPr>
          <w:rtl/>
        </w:rPr>
      </w:pPr>
      <w:r>
        <w:rPr>
          <w:b/>
          <w:bCs/>
          <w:color w:val="000000"/>
        </w:rPr>
        <w:t>Kovacevic Filip</w:t>
      </w:r>
      <w:r>
        <w:rPr>
          <w:color w:val="000000"/>
        </w:rPr>
        <w:t xml:space="preserve">, “Montenegro and the Politics of Post-Communist </w:t>
      </w:r>
      <w:r w:rsidR="004F39CC">
        <w:rPr>
          <w:color w:val="000000"/>
        </w:rPr>
        <w:t>T</w:t>
      </w:r>
      <w:r>
        <w:rPr>
          <w:color w:val="000000"/>
        </w:rPr>
        <w:t>ransition”, </w:t>
      </w:r>
      <w:r>
        <w:rPr>
          <w:rFonts w:eastAsia="Calibri"/>
          <w:i/>
          <w:iCs/>
        </w:rPr>
        <w:t>Mediterranean Quarterly</w:t>
      </w:r>
      <w:r>
        <w:rPr>
          <w:rFonts w:eastAsia="Calibri"/>
        </w:rPr>
        <w:t>, 18:1, Summer 2007, pp. 72-93.</w:t>
      </w:r>
    </w:p>
    <w:p w:rsidR="003710EB" w:rsidRDefault="003710EB" w:rsidP="003710EB"/>
    <w:p w:rsidR="003710EB" w:rsidRDefault="003710EB" w:rsidP="003710EB">
      <w:pPr>
        <w:rPr>
          <w:b/>
          <w:bCs/>
          <w:color w:val="000000"/>
          <w:u w:val="single"/>
        </w:rPr>
      </w:pPr>
      <w:r>
        <w:rPr>
          <w:rFonts w:hint="cs"/>
          <w:u w:val="single"/>
          <w:rtl/>
        </w:rPr>
        <w:t>ה. אלבניה – בדרך לאן?</w:t>
      </w:r>
    </w:p>
    <w:p w:rsidR="003710EB" w:rsidRDefault="003710EB" w:rsidP="003710EB">
      <w:pPr>
        <w:bidi w:val="0"/>
        <w:rPr>
          <w:color w:val="000000"/>
        </w:rPr>
      </w:pPr>
      <w:r>
        <w:rPr>
          <w:b/>
          <w:bCs/>
          <w:color w:val="000000"/>
        </w:rPr>
        <w:t>Elez Biberaj</w:t>
      </w:r>
      <w:r>
        <w:rPr>
          <w:color w:val="000000"/>
        </w:rPr>
        <w:t xml:space="preserve">, “Albania’s Road to Democracy”, </w:t>
      </w:r>
      <w:r>
        <w:rPr>
          <w:i/>
          <w:iCs/>
          <w:color w:val="000000"/>
        </w:rPr>
        <w:t>Current History</w:t>
      </w:r>
      <w:r>
        <w:rPr>
          <w:color w:val="000000"/>
        </w:rPr>
        <w:t xml:space="preserve">, Vol.92, 1993, </w:t>
      </w: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  <w:rtl/>
        </w:rPr>
      </w:pPr>
      <w:r>
        <w:rPr>
          <w:color w:val="000000"/>
        </w:rPr>
        <w:t>pp. 381-385</w:t>
      </w: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</w:rPr>
      </w:pPr>
      <w:r>
        <w:rPr>
          <w:b/>
          <w:bCs/>
          <w:color w:val="000000"/>
        </w:rPr>
        <w:t>Fabian Schmidt</w:t>
      </w:r>
      <w:r>
        <w:rPr>
          <w:color w:val="000000"/>
        </w:rPr>
        <w:t xml:space="preserve">, “Upheaval in Albania”, </w:t>
      </w:r>
      <w:r>
        <w:rPr>
          <w:i/>
          <w:iCs/>
          <w:color w:val="000000"/>
        </w:rPr>
        <w:t>Current History</w:t>
      </w:r>
      <w:r>
        <w:rPr>
          <w:color w:val="000000"/>
        </w:rPr>
        <w:t>, Vol. 97, 1998, pp. 127-131</w:t>
      </w: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</w:rPr>
      </w:pPr>
    </w:p>
    <w:p w:rsidR="003710EB" w:rsidRDefault="003710EB" w:rsidP="003710EB">
      <w:pPr>
        <w:pBdr>
          <w:bottom w:val="single" w:sz="6" w:space="16" w:color="auto"/>
        </w:pBdr>
        <w:bidi w:val="0"/>
        <w:rPr>
          <w:color w:val="000000"/>
          <w:rtl/>
        </w:rPr>
      </w:pPr>
    </w:p>
    <w:p w:rsidR="008860B4" w:rsidRDefault="008860B4" w:rsidP="008860B4">
      <w:pPr>
        <w:pBdr>
          <w:bottom w:val="single" w:sz="6" w:space="16" w:color="auto"/>
        </w:pBdr>
        <w:bidi w:val="0"/>
        <w:rPr>
          <w:color w:val="000000"/>
        </w:rPr>
      </w:pPr>
    </w:p>
    <w:p w:rsidR="003710EB" w:rsidRDefault="004F39CC" w:rsidP="003710EB">
      <w:pPr>
        <w:pBdr>
          <w:bottom w:val="single" w:sz="6" w:space="16" w:color="auto"/>
        </w:pBdr>
        <w:bidi w:val="0"/>
        <w:jc w:val="right"/>
        <w:rPr>
          <w:b/>
          <w:bCs/>
          <w:color w:val="000000"/>
          <w:sz w:val="28"/>
          <w:szCs w:val="28"/>
          <w:u w:val="singl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</w:rPr>
        <w:t>9</w:t>
      </w:r>
      <w:r w:rsidR="003710EB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. אירופה מתרחבת – האם הבלקנים הם חלק ממנה? </w:t>
      </w:r>
    </w:p>
    <w:p w:rsidR="003710EB" w:rsidRDefault="004F39CC" w:rsidP="004F39CC">
      <w:pPr>
        <w:pBdr>
          <w:bottom w:val="single" w:sz="6" w:space="16" w:color="auto"/>
        </w:pBdr>
        <w:bidi w:val="0"/>
        <w:jc w:val="right"/>
        <w:rPr>
          <w:b/>
          <w:bCs/>
          <w:color w:val="000000"/>
          <w:sz w:val="28"/>
          <w:szCs w:val="28"/>
          <w:u w:val="single"/>
        </w:rPr>
      </w:pPr>
      <w:r w:rsidRPr="004B6865">
        <w:rPr>
          <w:rFonts w:hint="cs"/>
          <w:b/>
          <w:bCs/>
          <w:color w:val="FF0000"/>
          <w:rtl/>
        </w:rPr>
        <w:t>שיעור 15</w:t>
      </w:r>
    </w:p>
    <w:p w:rsidR="003710EB" w:rsidRDefault="004F39CC" w:rsidP="004F39CC">
      <w:pPr>
        <w:pBdr>
          <w:bottom w:val="single" w:sz="6" w:space="16" w:color="auto"/>
        </w:pBdr>
        <w:bidi w:val="0"/>
        <w:jc w:val="center"/>
        <w:rPr>
          <w:color w:val="000000"/>
          <w:u w:val="single"/>
          <w:rtl/>
        </w:rPr>
      </w:pPr>
      <w:r>
        <w:rPr>
          <w:rFonts w:hint="cs"/>
          <w:u w:val="single"/>
          <w:rtl/>
        </w:rPr>
        <w:t xml:space="preserve"> האם הפרספקטיבה של האינטגרציה האירופית מיטיבה עם הבלקנים?</w:t>
      </w:r>
    </w:p>
    <w:p w:rsidR="003710EB" w:rsidRDefault="003710EB" w:rsidP="003710EB">
      <w:pPr>
        <w:pBdr>
          <w:bottom w:val="single" w:sz="6" w:space="16" w:color="auto"/>
        </w:pBdr>
        <w:bidi w:val="0"/>
      </w:pPr>
      <w:r>
        <w:rPr>
          <w:b/>
          <w:bCs/>
        </w:rPr>
        <w:t>Victor D. Bojkov</w:t>
      </w:r>
      <w:r>
        <w:t xml:space="preserve">, “Neither here nor there: Bulgaria and Romania in Current European Politics”, </w:t>
      </w:r>
      <w:r>
        <w:rPr>
          <w:i/>
          <w:iCs/>
        </w:rPr>
        <w:t>Communist and Post-Communist Studies</w:t>
      </w:r>
      <w:r>
        <w:t>, No. 37, 2004, pp. 509-522.</w:t>
      </w:r>
    </w:p>
    <w:p w:rsidR="004F39CC" w:rsidRDefault="003710EB" w:rsidP="004F39CC">
      <w:pPr>
        <w:pBdr>
          <w:bottom w:val="single" w:sz="6" w:space="16" w:color="auto"/>
        </w:pBdr>
        <w:bidi w:val="0"/>
      </w:pPr>
      <w:r>
        <w:rPr>
          <w:b/>
          <w:bCs/>
        </w:rPr>
        <w:t xml:space="preserve">Leeda Demetropoulou, </w:t>
      </w:r>
      <w:r>
        <w:t xml:space="preserve">“Europe and the Balkans: Membership Aspiration, EU Involvement and Europeanization Capacity in South Eastern Europe”, </w:t>
      </w:r>
      <w:r>
        <w:rPr>
          <w:i/>
          <w:iCs/>
        </w:rPr>
        <w:t>Southeast European Politics</w:t>
      </w:r>
      <w:r>
        <w:t xml:space="preserve">, Vol. 3, No. 2-3, 2002, pp.87-106. </w:t>
      </w:r>
    </w:p>
    <w:p w:rsidR="003710EB" w:rsidRDefault="003710EB" w:rsidP="004F39CC">
      <w:pPr>
        <w:pBdr>
          <w:bottom w:val="single" w:sz="6" w:space="16" w:color="auto"/>
        </w:pBdr>
        <w:bidi w:val="0"/>
        <w:rPr>
          <w:rtl/>
        </w:rPr>
      </w:pPr>
      <w:r>
        <w:rPr>
          <w:b/>
          <w:bCs/>
        </w:rPr>
        <w:t>Alina Mungiu-Pippidi</w:t>
      </w:r>
      <w:r>
        <w:t xml:space="preserve">, “Beyond the new Borders”, </w:t>
      </w:r>
      <w:r>
        <w:rPr>
          <w:i/>
          <w:iCs/>
        </w:rPr>
        <w:t>Journal of Democracy</w:t>
      </w:r>
      <w:r>
        <w:t>, Vol. 15, No. January 2004, pp. 48-62.</w:t>
      </w:r>
    </w:p>
    <w:p w:rsidR="003710EB" w:rsidRDefault="003710EB" w:rsidP="003710EB">
      <w:pPr>
        <w:pBdr>
          <w:bottom w:val="single" w:sz="6" w:space="13" w:color="auto"/>
        </w:pBdr>
        <w:jc w:val="both"/>
        <w:rPr>
          <w:sz w:val="28"/>
          <w:szCs w:val="28"/>
          <w:rtl/>
        </w:rPr>
      </w:pPr>
    </w:p>
    <w:p w:rsidR="003710EB" w:rsidRDefault="003710EB" w:rsidP="003710EB">
      <w:pPr>
        <w:pBdr>
          <w:bottom w:val="single" w:sz="6" w:space="13" w:color="auto"/>
        </w:pBdr>
        <w:jc w:val="both"/>
        <w:rPr>
          <w:sz w:val="28"/>
          <w:szCs w:val="28"/>
          <w:rtl/>
        </w:rPr>
      </w:pPr>
    </w:p>
    <w:p w:rsidR="003710EB" w:rsidRDefault="003710EB" w:rsidP="003710EB">
      <w:pPr>
        <w:pBdr>
          <w:bottom w:val="single" w:sz="6" w:space="13" w:color="auto"/>
        </w:pBdr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חומר עזר נוסף:</w:t>
      </w:r>
    </w:p>
    <w:p w:rsidR="003710EB" w:rsidRDefault="003710EB" w:rsidP="003710EB">
      <w:pPr>
        <w:pBdr>
          <w:bottom w:val="single" w:sz="6" w:space="13" w:color="auto"/>
        </w:pBd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7C48EB" w:rsidRDefault="007C48EB" w:rsidP="003710EB">
      <w:pPr>
        <w:pBdr>
          <w:bottom w:val="single" w:sz="6" w:space="13" w:color="auto"/>
        </w:pBdr>
        <w:jc w:val="both"/>
        <w:rPr>
          <w:rFonts w:ascii="Arial" w:hAnsi="Arial" w:cs="Arial"/>
          <w:b/>
          <w:bCs/>
          <w:color w:val="000000"/>
          <w:u w:val="single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4870"/>
      </w:tblGrid>
      <w:tr w:rsidR="003710EB" w:rsidTr="003710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EB" w:rsidRDefault="003710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מקורות אקדמיים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0EB" w:rsidRDefault="003710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אתרי אינטרנט:</w:t>
            </w:r>
          </w:p>
        </w:tc>
      </w:tr>
      <w:tr w:rsidR="003710EB" w:rsidTr="003710E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  <w:rtl/>
              </w:rPr>
            </w:pP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East European Politics and Societies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  <w:rtl/>
              </w:rPr>
            </w:pPr>
            <w:r>
              <w:rPr>
                <w:i/>
                <w:iCs/>
              </w:rPr>
              <w:t xml:space="preserve">East European Quarterly </w:t>
            </w:r>
          </w:p>
          <w:p w:rsidR="003710EB" w:rsidRDefault="003710EB">
            <w:pPr>
              <w:tabs>
                <w:tab w:val="left" w:pos="2595"/>
              </w:tabs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Europe-Asia Studies</w:t>
            </w:r>
            <w:r>
              <w:rPr>
                <w:i/>
                <w:iCs/>
              </w:rPr>
              <w:tab/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Foreign Affairs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Foreign Policy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International Affairs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International Security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Nationalities Papers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Problems of Post-Communism 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>Slavic Review</w:t>
            </w:r>
          </w:p>
          <w:p w:rsidR="003710EB" w:rsidRDefault="003710EB">
            <w:pPr>
              <w:bidi w:val="0"/>
              <w:spacing w:before="100" w:beforeAutospacing="1" w:after="100" w:afterAutospacing="1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Slavonic and East European Review </w:t>
            </w:r>
          </w:p>
          <w:p w:rsidR="003710EB" w:rsidRDefault="003710EB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EB" w:rsidRDefault="003710E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0" w:history="1">
              <w:r w:rsidR="003710EB">
                <w:rPr>
                  <w:rStyle w:val="Hyperlink"/>
                  <w:rFonts w:hint="cs"/>
                </w:rPr>
                <w:t>https://www.cia.gov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1" w:history="1">
              <w:r w:rsidR="003710EB">
                <w:rPr>
                  <w:rStyle w:val="Hyperlink"/>
                  <w:rFonts w:hint="cs"/>
                </w:rPr>
                <w:t>http://www.crimesofwar.org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2" w:history="1">
              <w:r w:rsidR="003710EB">
                <w:rPr>
                  <w:rStyle w:val="Hyperlink"/>
                  <w:rFonts w:hint="cs"/>
                </w:rPr>
                <w:t>www.crinfo.org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3" w:history="1">
              <w:r w:rsidR="003710EB">
                <w:rPr>
                  <w:rStyle w:val="Hyperlink"/>
                  <w:rFonts w:hint="cs"/>
                </w:rPr>
                <w:t>www.crisisweb.org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4" w:history="1">
              <w:r w:rsidR="003710EB">
                <w:rPr>
                  <w:rStyle w:val="Hyperlink"/>
                  <w:rFonts w:hint="cs"/>
                </w:rPr>
                <w:t>http://europa.eu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5" w:history="1">
              <w:r w:rsidR="003710EB">
                <w:rPr>
                  <w:rStyle w:val="Hyperlink"/>
                  <w:rFonts w:hint="cs"/>
                </w:rPr>
                <w:t>http://www.freedomhouse.org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6" w:history="1">
              <w:r w:rsidR="003710EB">
                <w:rPr>
                  <w:rStyle w:val="Hyperlink"/>
                  <w:rFonts w:hint="cs"/>
                </w:rPr>
                <w:t>www.hrw.org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7" w:history="1">
              <w:r w:rsidR="003710EB">
                <w:rPr>
                  <w:rStyle w:val="Hyperlink"/>
                  <w:rFonts w:hint="cs"/>
                </w:rPr>
                <w:t>http://www.iht.com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8" w:history="1">
              <w:r w:rsidR="003710EB">
                <w:rPr>
                  <w:rStyle w:val="Hyperlink"/>
                  <w:rFonts w:hint="cs"/>
                </w:rPr>
                <w:t>www.partnersglobal.org</w:t>
              </w:r>
            </w:hyperlink>
          </w:p>
          <w:p w:rsidR="003710EB" w:rsidRDefault="003710EB">
            <w:pPr>
              <w:jc w:val="right"/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19" w:history="1">
              <w:r w:rsidR="003710EB">
                <w:rPr>
                  <w:rStyle w:val="Hyperlink"/>
                  <w:rFonts w:hint="cs"/>
                </w:rPr>
                <w:t>www.un.org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20" w:history="1">
              <w:r w:rsidR="003710EB">
                <w:rPr>
                  <w:rStyle w:val="Hyperlink"/>
                  <w:rFonts w:hint="cs"/>
                </w:rPr>
                <w:t>http://www.un.org/Depts/dpko/missions/unmibh</w:t>
              </w:r>
            </w:hyperlink>
          </w:p>
          <w:p w:rsidR="003710EB" w:rsidRDefault="003710EB">
            <w:pPr>
              <w:jc w:val="right"/>
              <w:rPr>
                <w:rtl/>
              </w:rPr>
            </w:pPr>
          </w:p>
          <w:p w:rsidR="003710EB" w:rsidRDefault="00BE3922">
            <w:pPr>
              <w:jc w:val="right"/>
              <w:rPr>
                <w:rtl/>
              </w:rPr>
            </w:pPr>
            <w:hyperlink r:id="rId21" w:history="1">
              <w:r w:rsidR="003710EB">
                <w:rPr>
                  <w:rStyle w:val="Hyperlink"/>
                  <w:rFonts w:hint="cs"/>
                </w:rPr>
                <w:t>www.unmikonline.org</w:t>
              </w:r>
            </w:hyperlink>
          </w:p>
          <w:p w:rsidR="003710EB" w:rsidRDefault="003710EB">
            <w:pPr>
              <w:bidi w:val="0"/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</w:tbl>
    <w:p w:rsidR="003710EB" w:rsidRDefault="003710EB" w:rsidP="003710EB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u w:val="single"/>
          <w:rtl/>
        </w:rPr>
      </w:pPr>
    </w:p>
    <w:p w:rsidR="003710EB" w:rsidRDefault="003710EB" w:rsidP="003710EB">
      <w:pPr>
        <w:bidi w:val="0"/>
        <w:rPr>
          <w:rtl/>
        </w:rPr>
      </w:pPr>
    </w:p>
    <w:p w:rsidR="003710EB" w:rsidRDefault="003710EB" w:rsidP="003710EB"/>
    <w:p w:rsidR="001763C4" w:rsidRDefault="001763C4"/>
    <w:sectPr w:rsidR="001763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342"/>
    <w:multiLevelType w:val="hybridMultilevel"/>
    <w:tmpl w:val="B3BCE4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0D74"/>
    <w:multiLevelType w:val="hybridMultilevel"/>
    <w:tmpl w:val="DAEC4502"/>
    <w:lvl w:ilvl="0" w:tplc="756C24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EB"/>
    <w:rsid w:val="001763C4"/>
    <w:rsid w:val="00193386"/>
    <w:rsid w:val="001B79A9"/>
    <w:rsid w:val="001C1026"/>
    <w:rsid w:val="001C5B15"/>
    <w:rsid w:val="003070A7"/>
    <w:rsid w:val="003710EB"/>
    <w:rsid w:val="004B6865"/>
    <w:rsid w:val="004F39CC"/>
    <w:rsid w:val="00645288"/>
    <w:rsid w:val="0078787C"/>
    <w:rsid w:val="007C48EB"/>
    <w:rsid w:val="007D174C"/>
    <w:rsid w:val="007F1001"/>
    <w:rsid w:val="008448F0"/>
    <w:rsid w:val="008860B4"/>
    <w:rsid w:val="008D2F9D"/>
    <w:rsid w:val="008D7939"/>
    <w:rsid w:val="00986970"/>
    <w:rsid w:val="00B71B73"/>
    <w:rsid w:val="00BA142D"/>
    <w:rsid w:val="00BE3922"/>
    <w:rsid w:val="00C87097"/>
    <w:rsid w:val="00D9008E"/>
    <w:rsid w:val="00DC63B3"/>
    <w:rsid w:val="00E046DD"/>
    <w:rsid w:val="00E44112"/>
    <w:rsid w:val="00E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710EB"/>
    <w:pPr>
      <w:keepNext/>
      <w:jc w:val="both"/>
      <w:outlineLvl w:val="3"/>
    </w:pPr>
    <w:rPr>
      <w:rFonts w:cs="David"/>
      <w:i/>
      <w:iCs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3710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semiHidden/>
    <w:rsid w:val="003710EB"/>
    <w:rPr>
      <w:rFonts w:ascii="Times New Roman" w:eastAsia="Times New Roman" w:hAnsi="Times New Roman" w:cs="David"/>
      <w:i/>
      <w:iCs/>
      <w:sz w:val="24"/>
      <w:szCs w:val="24"/>
      <w:lang w:val="en-GB" w:eastAsia="he-IL"/>
    </w:rPr>
  </w:style>
  <w:style w:type="character" w:styleId="Hyperlink">
    <w:name w:val="Hyperlink"/>
    <w:basedOn w:val="a0"/>
    <w:semiHidden/>
    <w:unhideWhenUsed/>
    <w:rsid w:val="003710E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710E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710E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E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0E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710EB"/>
    <w:pPr>
      <w:keepNext/>
      <w:jc w:val="both"/>
      <w:outlineLvl w:val="3"/>
    </w:pPr>
    <w:rPr>
      <w:rFonts w:cs="David"/>
      <w:i/>
      <w:iCs/>
      <w:lang w:val="en-GB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3710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semiHidden/>
    <w:rsid w:val="003710EB"/>
    <w:rPr>
      <w:rFonts w:ascii="Times New Roman" w:eastAsia="Times New Roman" w:hAnsi="Times New Roman" w:cs="David"/>
      <w:i/>
      <w:iCs/>
      <w:sz w:val="24"/>
      <w:szCs w:val="24"/>
      <w:lang w:val="en-GB" w:eastAsia="he-IL"/>
    </w:rPr>
  </w:style>
  <w:style w:type="character" w:styleId="Hyperlink">
    <w:name w:val="Hyperlink"/>
    <w:basedOn w:val="a0"/>
    <w:semiHidden/>
    <w:unhideWhenUsed/>
    <w:rsid w:val="003710E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710E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710E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view/00376779/di000550/00p03947/0?currentResult=00376779%2bdi000550%2b00p03947%2b0%2c01%2b19920400%2b9993%2b80079599&amp;searchID=cc993341.10614933841&amp;frame=noframe&amp;sortOrder=SCORE&amp;userID=8da13343@georgetown.edu/01cc9933410050e1f589&amp;dpi=3&amp;viewContent=Article&amp;config=jstor" TargetMode="External"/><Relationship Id="rId13" Type="http://schemas.openxmlformats.org/officeDocument/2006/relationships/hyperlink" Target="http://www.crisisweb.org/" TargetMode="External"/><Relationship Id="rId18" Type="http://schemas.openxmlformats.org/officeDocument/2006/relationships/hyperlink" Target="http://www.partnersglobal.org/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http://www.unmikonline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rinfo.org/" TargetMode="External"/><Relationship Id="rId17" Type="http://schemas.openxmlformats.org/officeDocument/2006/relationships/hyperlink" Target="http://www.iht.com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hrw.org/" TargetMode="External"/><Relationship Id="rId20" Type="http://schemas.openxmlformats.org/officeDocument/2006/relationships/hyperlink" Target="http://www.un.org/Depts/dpko/missions/unmib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rimesofwar.org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yperlink" Target="http://www.freedomhous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ia.gov/" TargetMode="External"/><Relationship Id="rId19" Type="http://schemas.openxmlformats.org/officeDocument/2006/relationships/hyperlink" Target="http://www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icty/judgement.htm" TargetMode="External"/><Relationship Id="rId14" Type="http://schemas.openxmlformats.org/officeDocument/2006/relationships/hyperlink" Target="http://europa.eu/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5RW434VQ3H3S-2091-869</_dlc_DocId>
    <_dlc_DocIdUrl xmlns="3fd1f8e8-d4eb-4fa9-9edf-90e13be718c2">
      <Url>https://in.bgu.ac.il/humsos/politics/_layouts/DocIdRedir.aspx?ID=5RW434VQ3H3S-2091-869</Url>
      <Description>5RW434VQ3H3S-2091-869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09BB4-6303-4FA3-87EE-C1A238E74A44}"/>
</file>

<file path=customXml/itemProps2.xml><?xml version="1.0" encoding="utf-8"?>
<ds:datastoreItem xmlns:ds="http://schemas.openxmlformats.org/officeDocument/2006/customXml" ds:itemID="{B759E35C-7664-40FB-9522-9BD67E9BBED8}"/>
</file>

<file path=customXml/itemProps3.xml><?xml version="1.0" encoding="utf-8"?>
<ds:datastoreItem xmlns:ds="http://schemas.openxmlformats.org/officeDocument/2006/customXml" ds:itemID="{81C9F24D-65AB-44A0-86DD-9F9F78EE2E8B}"/>
</file>

<file path=customXml/itemProps4.xml><?xml version="1.0" encoding="utf-8"?>
<ds:datastoreItem xmlns:ds="http://schemas.openxmlformats.org/officeDocument/2006/customXml" ds:itemID="{9F42211E-CFC8-4503-B77F-6C5663974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9579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</dc:creator>
  <cp:lastModifiedBy>yael nir</cp:lastModifiedBy>
  <cp:revision>2</cp:revision>
  <dcterms:created xsi:type="dcterms:W3CDTF">2012-08-29T12:08:00Z</dcterms:created>
  <dcterms:modified xsi:type="dcterms:W3CDTF">2012-08-29T12:08:00Z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72fc372f-2a56-4495-8fa9-f5a3896215eb</vt:lpwstr>
  </property>
</Properties>
</file>