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44C6C" w14:textId="1A67DACF" w:rsidR="00BE670E" w:rsidRPr="00854878" w:rsidRDefault="00BE670E" w:rsidP="00BE670E">
      <w:pPr>
        <w:rPr>
          <w:rFonts w:asciiTheme="majorBidi" w:hAnsiTheme="majorBidi" w:cstheme="majorBidi"/>
          <w:rtl/>
        </w:rPr>
      </w:pPr>
      <w:r w:rsidRPr="00854878">
        <w:rPr>
          <w:rFonts w:asciiTheme="majorBidi" w:hAnsiTheme="majorBidi" w:cstheme="majorBidi"/>
          <w:rtl/>
        </w:rPr>
        <w:t>אוניברסיטת בן-גוריון</w:t>
      </w:r>
      <w:r w:rsidRPr="00854878">
        <w:rPr>
          <w:rFonts w:asciiTheme="majorBidi" w:hAnsiTheme="majorBidi" w:cstheme="majorBidi"/>
        </w:rPr>
        <w:tab/>
      </w:r>
      <w:r w:rsidRPr="00854878">
        <w:rPr>
          <w:rFonts w:asciiTheme="majorBidi" w:hAnsiTheme="majorBidi" w:cstheme="majorBidi"/>
        </w:rPr>
        <w:tab/>
      </w:r>
      <w:r w:rsidRPr="00854878">
        <w:rPr>
          <w:rFonts w:asciiTheme="majorBidi" w:hAnsiTheme="majorBidi" w:cstheme="majorBidi"/>
        </w:rPr>
        <w:tab/>
      </w:r>
      <w:r w:rsidRPr="00854878">
        <w:rPr>
          <w:rFonts w:asciiTheme="majorBidi" w:hAnsiTheme="majorBidi" w:cstheme="majorBidi"/>
        </w:rPr>
        <w:tab/>
      </w:r>
      <w:r w:rsidRPr="00854878">
        <w:rPr>
          <w:rFonts w:asciiTheme="majorBidi" w:hAnsiTheme="majorBidi" w:cstheme="majorBidi"/>
        </w:rPr>
        <w:tab/>
      </w:r>
      <w:r w:rsidRPr="00854878">
        <w:rPr>
          <w:rFonts w:asciiTheme="majorBidi" w:hAnsiTheme="majorBidi" w:cstheme="majorBidi"/>
        </w:rPr>
        <w:tab/>
      </w:r>
      <w:r w:rsidRPr="00854878">
        <w:rPr>
          <w:rFonts w:asciiTheme="majorBidi" w:hAnsiTheme="majorBidi" w:cstheme="majorBidi"/>
        </w:rPr>
        <w:tab/>
      </w:r>
      <w:r w:rsidRPr="00854878">
        <w:rPr>
          <w:rFonts w:asciiTheme="majorBidi" w:hAnsiTheme="majorBidi" w:cstheme="majorBidi"/>
          <w:rtl/>
        </w:rPr>
        <w:t>תש</w:t>
      </w:r>
      <w:r>
        <w:rPr>
          <w:rFonts w:asciiTheme="majorBidi" w:hAnsiTheme="majorBidi" w:cstheme="majorBidi" w:hint="cs"/>
          <w:rtl/>
        </w:rPr>
        <w:t>פ"</w:t>
      </w:r>
      <w:r w:rsidR="00DF3718">
        <w:rPr>
          <w:rFonts w:asciiTheme="majorBidi" w:hAnsiTheme="majorBidi" w:cstheme="majorBidi" w:hint="cs"/>
          <w:rtl/>
        </w:rPr>
        <w:t>ד</w:t>
      </w:r>
    </w:p>
    <w:p w14:paraId="51A4AC57" w14:textId="77777777" w:rsidR="00BE670E" w:rsidRPr="00854878" w:rsidRDefault="00BE670E" w:rsidP="00BE670E">
      <w:pPr>
        <w:rPr>
          <w:rFonts w:asciiTheme="majorBidi" w:hAnsiTheme="majorBidi" w:cstheme="majorBidi"/>
          <w:rtl/>
        </w:rPr>
      </w:pPr>
      <w:r w:rsidRPr="00854878">
        <w:rPr>
          <w:rFonts w:asciiTheme="majorBidi" w:hAnsiTheme="majorBidi" w:cstheme="majorBidi"/>
          <w:rtl/>
        </w:rPr>
        <w:t>המחלקה לפוליטיקה וממשל</w:t>
      </w:r>
    </w:p>
    <w:p w14:paraId="35746F08" w14:textId="77777777" w:rsidR="00BE670E" w:rsidRPr="00854878" w:rsidRDefault="00BE670E" w:rsidP="00BE670E">
      <w:pPr>
        <w:rPr>
          <w:rFonts w:asciiTheme="majorBidi" w:hAnsiTheme="majorBidi" w:cstheme="majorBidi"/>
        </w:rPr>
      </w:pPr>
    </w:p>
    <w:p w14:paraId="4ED44F2F" w14:textId="5530A9F2" w:rsidR="00BE670E" w:rsidRPr="00854878" w:rsidRDefault="00A167D2" w:rsidP="00BE670E">
      <w:pPr>
        <w:jc w:val="center"/>
        <w:rPr>
          <w:rFonts w:asciiTheme="majorBidi" w:hAnsiTheme="majorBidi" w:cstheme="majorBidi"/>
          <w:b/>
          <w:bCs/>
          <w:rtl/>
        </w:rPr>
      </w:pPr>
      <w:r>
        <w:rPr>
          <w:rFonts w:asciiTheme="majorBidi" w:hAnsiTheme="majorBidi" w:cstheme="majorBidi" w:hint="cs"/>
          <w:b/>
          <w:bCs/>
          <w:rtl/>
        </w:rPr>
        <w:t>הפוליטיקה של המשפחה</w:t>
      </w:r>
    </w:p>
    <w:p w14:paraId="28E7BBCB" w14:textId="77777777" w:rsidR="0068790D" w:rsidRDefault="00BE670E" w:rsidP="00BE670E">
      <w:pPr>
        <w:jc w:val="center"/>
        <w:rPr>
          <w:rFonts w:asciiTheme="majorBidi" w:hAnsiTheme="majorBidi" w:cstheme="majorBidi"/>
          <w:rtl/>
        </w:rPr>
      </w:pPr>
      <w:r w:rsidRPr="00854878">
        <w:rPr>
          <w:rFonts w:asciiTheme="majorBidi" w:hAnsiTheme="majorBidi" w:cstheme="majorBidi"/>
          <w:rtl/>
        </w:rPr>
        <w:t>פרופסור גיא בן-פורת</w:t>
      </w:r>
    </w:p>
    <w:p w14:paraId="7CFB5300" w14:textId="26626C76" w:rsidR="00BE670E" w:rsidRPr="00854878" w:rsidRDefault="00BE670E" w:rsidP="00BE670E">
      <w:pPr>
        <w:jc w:val="center"/>
        <w:rPr>
          <w:rFonts w:asciiTheme="majorBidi" w:hAnsiTheme="majorBidi" w:cstheme="majorBidi"/>
          <w:rtl/>
        </w:rPr>
      </w:pPr>
      <w:r w:rsidRPr="00854878">
        <w:rPr>
          <w:rFonts w:asciiTheme="majorBidi" w:hAnsiTheme="majorBidi" w:cstheme="majorBidi"/>
          <w:rtl/>
        </w:rPr>
        <w:t xml:space="preserve"> </w:t>
      </w:r>
      <w:hyperlink r:id="rId8" w:history="1">
        <w:r w:rsidRPr="00854878">
          <w:rPr>
            <w:rStyle w:val="Hyperlink"/>
            <w:rFonts w:asciiTheme="majorBidi" w:hAnsiTheme="majorBidi" w:cstheme="majorBidi"/>
            <w:lang w:val="en-GB"/>
          </w:rPr>
          <w:t>gbp</w:t>
        </w:r>
        <w:r w:rsidRPr="00854878">
          <w:rPr>
            <w:rStyle w:val="Hyperlink"/>
            <w:rFonts w:asciiTheme="majorBidi" w:hAnsiTheme="majorBidi" w:cstheme="majorBidi"/>
          </w:rPr>
          <w:t>@bgu.ac.il</w:t>
        </w:r>
      </w:hyperlink>
    </w:p>
    <w:p w14:paraId="50AC1585" w14:textId="77777777" w:rsidR="00BE670E" w:rsidRPr="00854878" w:rsidRDefault="00BE670E" w:rsidP="00BE670E">
      <w:pPr>
        <w:jc w:val="center"/>
        <w:rPr>
          <w:rFonts w:asciiTheme="majorBidi" w:hAnsiTheme="majorBidi" w:cstheme="majorBidi"/>
          <w:rtl/>
        </w:rPr>
      </w:pPr>
    </w:p>
    <w:p w14:paraId="6384BF7B" w14:textId="77777777" w:rsidR="00B877CF" w:rsidRPr="006210C3" w:rsidRDefault="00B877CF">
      <w:pPr>
        <w:jc w:val="both"/>
        <w:rPr>
          <w:rFonts w:asciiTheme="majorBidi" w:hAnsiTheme="majorBidi" w:cstheme="majorBidi"/>
          <w:u w:val="single"/>
          <w:rtl/>
        </w:rPr>
      </w:pPr>
    </w:p>
    <w:p w14:paraId="76B2C020" w14:textId="77777777" w:rsidR="00B877CF" w:rsidRPr="006210C3" w:rsidRDefault="00B877CF">
      <w:pPr>
        <w:rPr>
          <w:rFonts w:asciiTheme="majorBidi" w:hAnsiTheme="majorBidi" w:cstheme="majorBidi"/>
          <w:rtl/>
        </w:rPr>
      </w:pPr>
    </w:p>
    <w:p w14:paraId="428181C9" w14:textId="4316F283" w:rsidR="00B877CF" w:rsidRPr="00DD2E59" w:rsidRDefault="00B877CF">
      <w:pPr>
        <w:rPr>
          <w:rFonts w:asciiTheme="majorBidi" w:hAnsiTheme="majorBidi" w:cstheme="majorBidi"/>
          <w:b/>
          <w:bCs/>
          <w:rtl/>
        </w:rPr>
      </w:pPr>
      <w:r w:rsidRPr="00DD2E59">
        <w:rPr>
          <w:rFonts w:asciiTheme="majorBidi" w:hAnsiTheme="majorBidi" w:cstheme="majorBidi"/>
          <w:b/>
          <w:bCs/>
          <w:u w:val="single"/>
          <w:rtl/>
        </w:rPr>
        <w:t>ת</w:t>
      </w:r>
      <w:r w:rsidR="0068790D">
        <w:rPr>
          <w:rFonts w:asciiTheme="majorBidi" w:hAnsiTheme="majorBidi" w:cstheme="majorBidi" w:hint="cs"/>
          <w:b/>
          <w:bCs/>
          <w:u w:val="single"/>
          <w:rtl/>
        </w:rPr>
        <w:t>י</w:t>
      </w:r>
      <w:r w:rsidRPr="00DD2E59">
        <w:rPr>
          <w:rFonts w:asciiTheme="majorBidi" w:hAnsiTheme="majorBidi" w:cstheme="majorBidi"/>
          <w:b/>
          <w:bCs/>
          <w:u w:val="single"/>
          <w:rtl/>
        </w:rPr>
        <w:t>אור קורס</w:t>
      </w:r>
      <w:r w:rsidRPr="00DD2E59">
        <w:rPr>
          <w:rFonts w:asciiTheme="majorBidi" w:hAnsiTheme="majorBidi" w:cstheme="majorBidi"/>
          <w:b/>
          <w:bCs/>
          <w:rtl/>
        </w:rPr>
        <w:t xml:space="preserve">: </w:t>
      </w:r>
    </w:p>
    <w:p w14:paraId="7D5CE717" w14:textId="77777777" w:rsidR="00B877CF" w:rsidRPr="00DD2E59" w:rsidRDefault="00B877CF">
      <w:pPr>
        <w:rPr>
          <w:rFonts w:asciiTheme="majorBidi" w:hAnsiTheme="majorBidi" w:cstheme="majorBidi"/>
          <w:b/>
          <w:bCs/>
          <w:rtl/>
        </w:rPr>
      </w:pPr>
    </w:p>
    <w:p w14:paraId="701A4CD9" w14:textId="2FBEF743" w:rsidR="00B877CF" w:rsidRPr="00DF3718" w:rsidRDefault="00A167D2" w:rsidP="00A746CF">
      <w:pPr>
        <w:jc w:val="both"/>
        <w:rPr>
          <w:rFonts w:asciiTheme="majorBidi" w:hAnsiTheme="majorBidi" w:cstheme="majorBidi"/>
        </w:rPr>
      </w:pPr>
      <w:r w:rsidRPr="00DF3718">
        <w:rPr>
          <w:rFonts w:asciiTheme="majorBidi" w:hAnsiTheme="majorBidi" w:cstheme="majorBidi"/>
          <w:rtl/>
        </w:rPr>
        <w:t xml:space="preserve">המשפחה, עבור רבות ורבים, היא מושג הנתפס "טבעי" ונטול הקשרים פוליטיים. </w:t>
      </w:r>
      <w:r w:rsidR="00BB0F0A" w:rsidRPr="00DF3718">
        <w:rPr>
          <w:rFonts w:asciiTheme="majorBidi" w:hAnsiTheme="majorBidi" w:cstheme="majorBidi"/>
          <w:rtl/>
        </w:rPr>
        <w:t xml:space="preserve">אולם, </w:t>
      </w:r>
      <w:r w:rsidR="006241B8" w:rsidRPr="00DF3718">
        <w:rPr>
          <w:rFonts w:asciiTheme="majorBidi" w:hAnsiTheme="majorBidi" w:cstheme="majorBidi"/>
          <w:rtl/>
        </w:rPr>
        <w:t xml:space="preserve">ההגדרה של מה היא משפחה, הזכויות והחובות הקשורים בה, והקשר שבין מדינה, כלכלה ומשפחה כולם קשורים בפוליטיקה והסדרים פוליטיים. "משפחה" קשורה בסדר חברתי, מזוהה עם נורמות חברתיות ויש מי שרואים בה גם עוגן של יציבות חברתית. </w:t>
      </w:r>
      <w:r w:rsidR="00BB0F0A" w:rsidRPr="00DF3718">
        <w:rPr>
          <w:rFonts w:asciiTheme="majorBidi" w:hAnsiTheme="majorBidi" w:cstheme="majorBidi"/>
          <w:rtl/>
        </w:rPr>
        <w:t xml:space="preserve">לא רק שהמשפחה היא חלק מהסדר הפוליטי אלא שבשנים האחרונות מאבקים סביב "ערכי משפחה" </w:t>
      </w:r>
      <w:r w:rsidR="00D33BD0" w:rsidRPr="00DF3718">
        <w:rPr>
          <w:rFonts w:asciiTheme="majorBidi" w:hAnsiTheme="majorBidi" w:cstheme="majorBidi"/>
          <w:rtl/>
        </w:rPr>
        <w:t xml:space="preserve">תופסים מקום הולך ונרחב בבישראל ובמקומות אחרים בעולם. </w:t>
      </w:r>
      <w:r w:rsidR="00DF3718" w:rsidRPr="00DF3718">
        <w:rPr>
          <w:rFonts w:asciiTheme="majorBidi" w:hAnsiTheme="majorBidi" w:cstheme="majorBidi"/>
          <w:rtl/>
        </w:rPr>
        <w:t>המושג "ערכי משפחה," משמש את הימין הדתי ושמרנים ברחבי העולם ובישראל</w:t>
      </w:r>
      <w:r w:rsidR="00DF3718" w:rsidRPr="00DF3718">
        <w:rPr>
          <w:rFonts w:asciiTheme="majorBidi" w:hAnsiTheme="majorBidi" w:cstheme="majorBidi"/>
        </w:rPr>
        <w:t xml:space="preserve"> </w:t>
      </w:r>
      <w:r w:rsidR="00DF3718" w:rsidRPr="00DF3718">
        <w:rPr>
          <w:rFonts w:asciiTheme="majorBidi" w:hAnsiTheme="majorBidi" w:cstheme="majorBidi"/>
          <w:rtl/>
        </w:rPr>
        <w:t xml:space="preserve"> וכולל שורה של תביעות  לשמר את התא המשפחתי המסורתי. אולם, מול התחזקותם כל הכוחות הדתיים והשמרניים פועלים גם תהליכים מנוגדים של חילון המתבטאים גם בערעור על התא המשפחתי המסורתי, תביעות לשוויון והכרה מגדריות, ויצירתם של תאים משפחתיים לא מסורתיים. כל אלו, הופכים את המשפחה לסוגיה פוליטית ולשאלה של מדיניות ציבורית. </w:t>
      </w:r>
      <w:r w:rsidR="00DF3718">
        <w:rPr>
          <w:rFonts w:asciiTheme="majorBidi" w:hAnsiTheme="majorBidi" w:cstheme="majorBidi" w:hint="cs"/>
          <w:rtl/>
        </w:rPr>
        <w:t>את ה</w:t>
      </w:r>
      <w:r w:rsidR="006241B8" w:rsidRPr="00DF3718">
        <w:rPr>
          <w:rFonts w:asciiTheme="majorBidi" w:hAnsiTheme="majorBidi" w:cstheme="majorBidi"/>
          <w:rtl/>
        </w:rPr>
        <w:t xml:space="preserve">מאבקים </w:t>
      </w:r>
      <w:r w:rsidR="00DF3718" w:rsidRPr="00DF3718">
        <w:rPr>
          <w:rFonts w:asciiTheme="majorBidi" w:hAnsiTheme="majorBidi" w:cstheme="majorBidi"/>
          <w:rtl/>
        </w:rPr>
        <w:t>הק</w:t>
      </w:r>
      <w:r w:rsidR="006241B8" w:rsidRPr="00DF3718">
        <w:rPr>
          <w:rFonts w:asciiTheme="majorBidi" w:hAnsiTheme="majorBidi" w:cstheme="majorBidi"/>
          <w:rtl/>
        </w:rPr>
        <w:t>שורים בשאלות של שוויון נשים, זכויות להטב"ק, הכרה בתאים משפחתיים אלטרנטיביים, רגולציה של נישואין וגירושין והפלות ניתן לקשור ב</w:t>
      </w:r>
      <w:r w:rsidR="00495D77" w:rsidRPr="00DF3718">
        <w:rPr>
          <w:rFonts w:asciiTheme="majorBidi" w:hAnsiTheme="majorBidi" w:cstheme="majorBidi"/>
          <w:rtl/>
        </w:rPr>
        <w:t xml:space="preserve">סוגיות </w:t>
      </w:r>
      <w:r w:rsidR="006241B8" w:rsidRPr="00DF3718">
        <w:rPr>
          <w:rFonts w:asciiTheme="majorBidi" w:hAnsiTheme="majorBidi" w:cstheme="majorBidi"/>
          <w:rtl/>
        </w:rPr>
        <w:t xml:space="preserve">רחבות יותר של </w:t>
      </w:r>
      <w:r w:rsidR="00495D77" w:rsidRPr="00DF3718">
        <w:rPr>
          <w:rFonts w:asciiTheme="majorBidi" w:hAnsiTheme="majorBidi" w:cstheme="majorBidi"/>
          <w:rtl/>
        </w:rPr>
        <w:t>יחסי דת ומדינה</w:t>
      </w:r>
      <w:r w:rsidR="00DF3718">
        <w:rPr>
          <w:rFonts w:asciiTheme="majorBidi" w:hAnsiTheme="majorBidi" w:cstheme="majorBidi" w:hint="cs"/>
          <w:rtl/>
        </w:rPr>
        <w:t>. אלה בתורן,</w:t>
      </w:r>
      <w:r w:rsidR="00DF533E" w:rsidRPr="00DF3718">
        <w:rPr>
          <w:rFonts w:asciiTheme="majorBidi" w:hAnsiTheme="majorBidi" w:cstheme="majorBidi"/>
          <w:rtl/>
        </w:rPr>
        <w:t xml:space="preserve"> </w:t>
      </w:r>
      <w:r w:rsidR="006241B8" w:rsidRPr="00DF3718">
        <w:rPr>
          <w:rFonts w:asciiTheme="majorBidi" w:hAnsiTheme="majorBidi" w:cstheme="majorBidi"/>
          <w:rtl/>
        </w:rPr>
        <w:t xml:space="preserve">המושפעות </w:t>
      </w:r>
      <w:r w:rsidR="00495D77" w:rsidRPr="00DF3718">
        <w:rPr>
          <w:rFonts w:asciiTheme="majorBidi" w:hAnsiTheme="majorBidi" w:cstheme="majorBidi"/>
          <w:rtl/>
        </w:rPr>
        <w:t xml:space="preserve"> </w:t>
      </w:r>
      <w:r w:rsidR="006241B8" w:rsidRPr="00DF3718">
        <w:rPr>
          <w:rFonts w:asciiTheme="majorBidi" w:hAnsiTheme="majorBidi" w:cstheme="majorBidi"/>
          <w:rtl/>
        </w:rPr>
        <w:t>מ</w:t>
      </w:r>
      <w:r w:rsidR="00495D77" w:rsidRPr="00DF3718">
        <w:rPr>
          <w:rFonts w:asciiTheme="majorBidi" w:hAnsiTheme="majorBidi" w:cstheme="majorBidi"/>
          <w:rtl/>
        </w:rPr>
        <w:t xml:space="preserve">שינויים כלכליים, חברתיים ודמוגראפיים </w:t>
      </w:r>
      <w:r w:rsidR="006241B8" w:rsidRPr="00DF3718">
        <w:rPr>
          <w:rFonts w:asciiTheme="majorBidi" w:hAnsiTheme="majorBidi" w:cstheme="majorBidi"/>
          <w:rtl/>
        </w:rPr>
        <w:t>ה</w:t>
      </w:r>
      <w:r w:rsidR="00495D77" w:rsidRPr="00DF3718">
        <w:rPr>
          <w:rFonts w:asciiTheme="majorBidi" w:hAnsiTheme="majorBidi" w:cstheme="majorBidi"/>
          <w:rtl/>
        </w:rPr>
        <w:t xml:space="preserve">מערערים הסדרים ישנים ויוצרים אתגרים חדשים </w:t>
      </w:r>
      <w:r w:rsidR="00A746CF" w:rsidRPr="00DF3718">
        <w:rPr>
          <w:rFonts w:asciiTheme="majorBidi" w:hAnsiTheme="majorBidi" w:cstheme="majorBidi"/>
          <w:rtl/>
        </w:rPr>
        <w:t>למדינה ולמוסדותיה</w:t>
      </w:r>
      <w:r w:rsidR="006241B8" w:rsidRPr="00DF3718">
        <w:rPr>
          <w:rFonts w:asciiTheme="majorBidi" w:hAnsiTheme="majorBidi" w:cstheme="majorBidi"/>
          <w:rtl/>
        </w:rPr>
        <w:t>. בקורס זה נעסוק בהיבטים הפוליטיים של המשפחה, ב</w:t>
      </w:r>
      <w:r w:rsidR="008051E5" w:rsidRPr="00DF3718">
        <w:rPr>
          <w:rFonts w:asciiTheme="majorBidi" w:hAnsiTheme="majorBidi" w:cstheme="majorBidi"/>
          <w:rtl/>
        </w:rPr>
        <w:t>"פוליטיקה של המוסר" וב"מלחמת תרבות" תוך בחינה של סוגיות פוליטיות בנות זמננו בישראל ובעולם.</w:t>
      </w:r>
    </w:p>
    <w:p w14:paraId="3C030576" w14:textId="77777777" w:rsidR="004F10DB" w:rsidRPr="00DF3718" w:rsidRDefault="004F10DB" w:rsidP="00F7303E">
      <w:pPr>
        <w:ind w:left="720" w:right="720"/>
        <w:rPr>
          <w:rFonts w:asciiTheme="majorBidi" w:hAnsiTheme="majorBidi" w:cstheme="majorBidi"/>
          <w:rtl/>
        </w:rPr>
      </w:pPr>
    </w:p>
    <w:p w14:paraId="112ECA0D" w14:textId="77777777" w:rsidR="006616F3" w:rsidRDefault="006616F3" w:rsidP="00317399">
      <w:pPr>
        <w:rPr>
          <w:rFonts w:asciiTheme="majorBidi" w:hAnsiTheme="majorBidi" w:cstheme="majorBidi"/>
          <w:u w:val="single"/>
          <w:rtl/>
        </w:rPr>
      </w:pPr>
    </w:p>
    <w:p w14:paraId="4B0A080C" w14:textId="77777777" w:rsidR="00317399" w:rsidRPr="00DD2E59" w:rsidRDefault="00317399" w:rsidP="00317399">
      <w:pPr>
        <w:rPr>
          <w:rFonts w:asciiTheme="majorBidi" w:hAnsiTheme="majorBidi" w:cstheme="majorBidi"/>
          <w:b/>
          <w:bCs/>
          <w:u w:val="single"/>
          <w:rtl/>
        </w:rPr>
      </w:pPr>
      <w:r w:rsidRPr="00DD2E59">
        <w:rPr>
          <w:rFonts w:asciiTheme="majorBidi" w:hAnsiTheme="majorBidi" w:cstheme="majorBidi"/>
          <w:b/>
          <w:bCs/>
          <w:u w:val="single"/>
          <w:rtl/>
        </w:rPr>
        <w:t>דרישות הקורס:</w:t>
      </w:r>
    </w:p>
    <w:p w14:paraId="5AE39E75" w14:textId="77777777" w:rsidR="00317399" w:rsidRPr="00DD2E59" w:rsidRDefault="00317399" w:rsidP="00317399">
      <w:pPr>
        <w:rPr>
          <w:rFonts w:asciiTheme="majorBidi" w:hAnsiTheme="majorBidi" w:cstheme="majorBidi"/>
          <w:b/>
          <w:bCs/>
          <w:u w:val="single"/>
          <w:rtl/>
        </w:rPr>
      </w:pPr>
    </w:p>
    <w:p w14:paraId="43379C31" w14:textId="6CE644EA" w:rsidR="00317399" w:rsidRDefault="00BD1499" w:rsidP="00015432">
      <w:pPr>
        <w:numPr>
          <w:ilvl w:val="0"/>
          <w:numId w:val="1"/>
        </w:numPr>
        <w:ind w:right="0"/>
        <w:rPr>
          <w:rFonts w:asciiTheme="majorBidi" w:hAnsiTheme="majorBidi" w:cstheme="majorBidi"/>
        </w:rPr>
      </w:pPr>
      <w:r>
        <w:rPr>
          <w:rFonts w:asciiTheme="majorBidi" w:hAnsiTheme="majorBidi" w:cstheme="majorBidi" w:hint="cs"/>
          <w:rtl/>
        </w:rPr>
        <w:t>מטלת ביניים</w:t>
      </w:r>
      <w:r w:rsidR="00ED34D4">
        <w:rPr>
          <w:rFonts w:asciiTheme="majorBidi" w:hAnsiTheme="majorBidi" w:cstheme="majorBidi" w:hint="cs"/>
          <w:rtl/>
        </w:rPr>
        <w:t xml:space="preserve"> </w:t>
      </w:r>
      <w:r w:rsidR="00ED34D4">
        <w:rPr>
          <w:rFonts w:asciiTheme="majorBidi" w:hAnsiTheme="majorBidi" w:cstheme="majorBidi"/>
          <w:rtl/>
        </w:rPr>
        <w:t>–</w:t>
      </w:r>
      <w:r w:rsidR="00ED34D4">
        <w:rPr>
          <w:rFonts w:asciiTheme="majorBidi" w:hAnsiTheme="majorBidi" w:cstheme="majorBidi" w:hint="cs"/>
          <w:rtl/>
        </w:rPr>
        <w:t xml:space="preserve"> </w:t>
      </w:r>
      <w:r>
        <w:rPr>
          <w:rFonts w:asciiTheme="majorBidi" w:hAnsiTheme="majorBidi" w:cstheme="majorBidi" w:hint="cs"/>
          <w:rtl/>
        </w:rPr>
        <w:t>2</w:t>
      </w:r>
      <w:r w:rsidR="00ED34D4">
        <w:rPr>
          <w:rFonts w:asciiTheme="majorBidi" w:hAnsiTheme="majorBidi" w:cstheme="majorBidi" w:hint="cs"/>
          <w:rtl/>
        </w:rPr>
        <w:t>0%</w:t>
      </w:r>
    </w:p>
    <w:p w14:paraId="16229ED7" w14:textId="57984266" w:rsidR="00ED34D4" w:rsidRPr="006616F3" w:rsidRDefault="00BD1499" w:rsidP="00015432">
      <w:pPr>
        <w:numPr>
          <w:ilvl w:val="0"/>
          <w:numId w:val="1"/>
        </w:numPr>
        <w:ind w:right="0"/>
        <w:rPr>
          <w:rFonts w:asciiTheme="majorBidi" w:hAnsiTheme="majorBidi" w:cstheme="majorBidi"/>
        </w:rPr>
      </w:pPr>
      <w:r>
        <w:rPr>
          <w:rFonts w:asciiTheme="majorBidi" w:hAnsiTheme="majorBidi" w:cstheme="majorBidi" w:hint="cs"/>
          <w:rtl/>
        </w:rPr>
        <w:t>מבחן בית</w:t>
      </w:r>
      <w:r w:rsidR="00C814A8">
        <w:rPr>
          <w:rFonts w:asciiTheme="majorBidi" w:hAnsiTheme="majorBidi" w:cstheme="majorBidi" w:hint="cs"/>
          <w:rtl/>
        </w:rPr>
        <w:t xml:space="preserve"> </w:t>
      </w:r>
      <w:r w:rsidR="00C814A8">
        <w:rPr>
          <w:rFonts w:asciiTheme="majorBidi" w:hAnsiTheme="majorBidi" w:cstheme="majorBidi"/>
          <w:rtl/>
        </w:rPr>
        <w:t>–</w:t>
      </w:r>
      <w:r w:rsidR="00C814A8">
        <w:rPr>
          <w:rFonts w:asciiTheme="majorBidi" w:hAnsiTheme="majorBidi" w:cstheme="majorBidi" w:hint="cs"/>
          <w:rtl/>
        </w:rPr>
        <w:t xml:space="preserve"> </w:t>
      </w:r>
      <w:r>
        <w:rPr>
          <w:rFonts w:asciiTheme="majorBidi" w:hAnsiTheme="majorBidi" w:cstheme="majorBidi" w:hint="cs"/>
          <w:rtl/>
        </w:rPr>
        <w:t>8</w:t>
      </w:r>
      <w:r w:rsidR="00C814A8">
        <w:rPr>
          <w:rFonts w:asciiTheme="majorBidi" w:hAnsiTheme="majorBidi" w:cstheme="majorBidi" w:hint="cs"/>
          <w:rtl/>
        </w:rPr>
        <w:t>0%</w:t>
      </w:r>
    </w:p>
    <w:p w14:paraId="39264591" w14:textId="77777777" w:rsidR="00453B51" w:rsidRDefault="00453B51" w:rsidP="00317399">
      <w:pPr>
        <w:rPr>
          <w:rFonts w:asciiTheme="majorBidi" w:hAnsiTheme="majorBidi" w:cstheme="majorBidi"/>
          <w:u w:val="single"/>
          <w:rtl/>
        </w:rPr>
      </w:pPr>
    </w:p>
    <w:p w14:paraId="20042B2F" w14:textId="2C025AD5" w:rsidR="001761A2" w:rsidRPr="00E60F81" w:rsidRDefault="001761A2" w:rsidP="005248A5">
      <w:pPr>
        <w:rPr>
          <w:rFonts w:asciiTheme="majorBidi" w:hAnsiTheme="majorBidi" w:cstheme="majorBidi"/>
          <w:b/>
          <w:bCs/>
          <w:u w:val="single"/>
          <w:rtl/>
        </w:rPr>
      </w:pPr>
      <w:r w:rsidRPr="00E60F81">
        <w:rPr>
          <w:rFonts w:asciiTheme="majorBidi" w:hAnsiTheme="majorBidi" w:cstheme="majorBidi" w:hint="cs"/>
          <w:b/>
          <w:bCs/>
          <w:u w:val="single"/>
          <w:rtl/>
        </w:rPr>
        <w:t>התאמות:</w:t>
      </w:r>
    </w:p>
    <w:p w14:paraId="0E5A829B" w14:textId="77777777" w:rsidR="001761A2" w:rsidRDefault="001761A2" w:rsidP="005248A5">
      <w:pPr>
        <w:rPr>
          <w:rFonts w:asciiTheme="majorBidi" w:hAnsiTheme="majorBidi" w:cstheme="majorBidi"/>
          <w:b/>
          <w:bCs/>
          <w:rtl/>
        </w:rPr>
      </w:pPr>
    </w:p>
    <w:p w14:paraId="79E517EA" w14:textId="5D92FFC5" w:rsidR="00E60F81" w:rsidRDefault="0082759D" w:rsidP="005248A5">
      <w:pPr>
        <w:rPr>
          <w:rFonts w:asciiTheme="majorBidi" w:hAnsiTheme="majorBidi" w:cstheme="majorBidi"/>
          <w:rtl/>
        </w:rPr>
      </w:pPr>
      <w:r>
        <w:rPr>
          <w:rFonts w:asciiTheme="majorBidi" w:hAnsiTheme="majorBidi" w:cstheme="majorBidi" w:hint="cs"/>
          <w:rtl/>
        </w:rPr>
        <w:t>הקורס מתוכנן ללמידה בכיתה הכוללת דיון והשתתפות</w:t>
      </w:r>
      <w:r w:rsidR="00454C09">
        <w:rPr>
          <w:rFonts w:asciiTheme="majorBidi" w:hAnsiTheme="majorBidi" w:cstheme="majorBidi" w:hint="cs"/>
          <w:rtl/>
        </w:rPr>
        <w:t xml:space="preserve">. עם זאת, </w:t>
      </w:r>
      <w:r w:rsidR="00AF2F13">
        <w:rPr>
          <w:rFonts w:asciiTheme="majorBidi" w:hAnsiTheme="majorBidi" w:cstheme="majorBidi" w:hint="cs"/>
          <w:rtl/>
        </w:rPr>
        <w:t xml:space="preserve">בשל המצב תתאפשר גם למידה מרחוק באמצעות הקלטות של השיעורים ו/או זום </w:t>
      </w:r>
      <w:r w:rsidR="000C7E7A">
        <w:rPr>
          <w:rFonts w:asciiTheme="majorBidi" w:hAnsiTheme="majorBidi" w:cstheme="majorBidi" w:hint="cs"/>
          <w:rtl/>
        </w:rPr>
        <w:t>עבור מי שאינם יכולים להגיע.</w:t>
      </w:r>
    </w:p>
    <w:p w14:paraId="06811C57" w14:textId="02AA0E93" w:rsidR="000C7E7A" w:rsidRPr="00E60F81" w:rsidRDefault="00F56912" w:rsidP="005248A5">
      <w:pPr>
        <w:rPr>
          <w:rFonts w:asciiTheme="majorBidi" w:hAnsiTheme="majorBidi" w:cstheme="majorBidi"/>
          <w:rtl/>
        </w:rPr>
      </w:pPr>
      <w:r>
        <w:rPr>
          <w:rFonts w:asciiTheme="majorBidi" w:hAnsiTheme="majorBidi" w:cstheme="majorBidi" w:hint="cs"/>
          <w:rtl/>
        </w:rPr>
        <w:t xml:space="preserve">הייתי שמח לקיים את הקורס במתכונתו המתוכננת </w:t>
      </w:r>
      <w:r w:rsidR="003C3954">
        <w:rPr>
          <w:rFonts w:asciiTheme="majorBidi" w:hAnsiTheme="majorBidi" w:cstheme="majorBidi" w:hint="cs"/>
          <w:rtl/>
        </w:rPr>
        <w:t xml:space="preserve">ואני מאמין שלמידה משותפת היא הדרך הטובה והנכונה. </w:t>
      </w:r>
      <w:r w:rsidR="00CD1915">
        <w:rPr>
          <w:rFonts w:asciiTheme="majorBidi" w:hAnsiTheme="majorBidi" w:cstheme="majorBidi" w:hint="cs"/>
          <w:rtl/>
        </w:rPr>
        <w:t xml:space="preserve">עבור מי שאינם יכולים, אעשה כל מה שניתן כדי שיוכלו לסיים את הקורס בהצלחה. אתם/ן מוזמנים לפנות אליי ישירות בכל בעיה אישית. </w:t>
      </w:r>
      <w:r w:rsidR="00E04141">
        <w:rPr>
          <w:rFonts w:asciiTheme="majorBidi" w:hAnsiTheme="majorBidi" w:cstheme="majorBidi" w:hint="cs"/>
          <w:rtl/>
        </w:rPr>
        <w:t>במקביל, אבקש מכל מי שיכול/ה שיגיע לשיעורים</w:t>
      </w:r>
      <w:r w:rsidR="002E039C">
        <w:rPr>
          <w:rFonts w:asciiTheme="majorBidi" w:hAnsiTheme="majorBidi" w:cstheme="majorBidi" w:hint="cs"/>
          <w:rtl/>
        </w:rPr>
        <w:t>.</w:t>
      </w:r>
      <w:r w:rsidR="00383760">
        <w:rPr>
          <w:rFonts w:asciiTheme="majorBidi" w:hAnsiTheme="majorBidi" w:cstheme="majorBidi" w:hint="cs"/>
          <w:rtl/>
        </w:rPr>
        <w:t xml:space="preserve"> </w:t>
      </w:r>
    </w:p>
    <w:p w14:paraId="64E573DB" w14:textId="77777777" w:rsidR="001761A2" w:rsidRDefault="001761A2" w:rsidP="005248A5">
      <w:pPr>
        <w:rPr>
          <w:rFonts w:asciiTheme="majorBidi" w:hAnsiTheme="majorBidi" w:cstheme="majorBidi"/>
          <w:b/>
          <w:bCs/>
          <w:rtl/>
        </w:rPr>
      </w:pPr>
    </w:p>
    <w:p w14:paraId="16CCC4EC" w14:textId="4B0F2B7D" w:rsidR="00526C69" w:rsidRPr="00DD2E59" w:rsidRDefault="00526C69" w:rsidP="005248A5">
      <w:pPr>
        <w:rPr>
          <w:rFonts w:asciiTheme="majorBidi" w:hAnsiTheme="majorBidi" w:cstheme="majorBidi"/>
          <w:b/>
          <w:bCs/>
          <w:rtl/>
        </w:rPr>
      </w:pPr>
      <w:r w:rsidRPr="00DD2E59">
        <w:rPr>
          <w:rFonts w:asciiTheme="majorBidi" w:hAnsiTheme="majorBidi" w:cstheme="majorBidi"/>
          <w:b/>
          <w:bCs/>
          <w:rtl/>
        </w:rPr>
        <w:t>תכנית השיעורים:</w:t>
      </w:r>
      <w:r w:rsidR="00DD2E59">
        <w:rPr>
          <w:rFonts w:asciiTheme="majorBidi" w:hAnsiTheme="majorBidi" w:cstheme="majorBidi" w:hint="cs"/>
          <w:b/>
          <w:bCs/>
          <w:rtl/>
        </w:rPr>
        <w:t xml:space="preserve"> (ייתכנו שינויים תוך כדי הסמסטר)</w:t>
      </w:r>
    </w:p>
    <w:p w14:paraId="48AB3CBE" w14:textId="77777777" w:rsidR="00526C69" w:rsidRPr="006210C3" w:rsidRDefault="00526C69" w:rsidP="005248A5">
      <w:pPr>
        <w:rPr>
          <w:rFonts w:asciiTheme="majorBidi" w:hAnsiTheme="majorBidi" w:cstheme="majorBidi"/>
          <w:rtl/>
        </w:rPr>
      </w:pPr>
    </w:p>
    <w:p w14:paraId="6C4628E7" w14:textId="0823A1A4" w:rsidR="00526C69" w:rsidRPr="006210C3" w:rsidRDefault="006210C3" w:rsidP="005248A5">
      <w:pPr>
        <w:rPr>
          <w:rFonts w:asciiTheme="majorBidi" w:hAnsiTheme="majorBidi" w:cstheme="majorBidi"/>
          <w:b/>
          <w:bCs/>
          <w:rtl/>
        </w:rPr>
      </w:pPr>
      <w:r w:rsidRPr="006210C3">
        <w:rPr>
          <w:rFonts w:asciiTheme="majorBidi" w:hAnsiTheme="majorBidi" w:cstheme="majorBidi"/>
          <w:u w:val="single"/>
          <w:rtl/>
        </w:rPr>
        <w:t>שבוע 1: דת, מדינה ו</w:t>
      </w:r>
      <w:r w:rsidR="007D7157">
        <w:rPr>
          <w:rFonts w:asciiTheme="majorBidi" w:hAnsiTheme="majorBidi" w:cstheme="majorBidi" w:hint="cs"/>
          <w:u w:val="single"/>
          <w:rtl/>
        </w:rPr>
        <w:t>פוליטיקה</w:t>
      </w:r>
    </w:p>
    <w:p w14:paraId="5A9C04A0" w14:textId="77777777" w:rsidR="00526C69" w:rsidRPr="006210C3" w:rsidRDefault="00526C69" w:rsidP="005248A5">
      <w:pPr>
        <w:rPr>
          <w:rFonts w:asciiTheme="majorBidi" w:hAnsiTheme="majorBidi" w:cstheme="majorBidi"/>
          <w:u w:val="single"/>
          <w:rtl/>
        </w:rPr>
      </w:pPr>
    </w:p>
    <w:p w14:paraId="364F2792" w14:textId="77777777" w:rsidR="00940F11" w:rsidRPr="00CE4E80" w:rsidRDefault="00940F11" w:rsidP="005248A5">
      <w:pPr>
        <w:autoSpaceDE w:val="0"/>
        <w:autoSpaceDN w:val="0"/>
        <w:bidi w:val="0"/>
        <w:adjustRightInd w:val="0"/>
        <w:ind w:hanging="720"/>
        <w:jc w:val="both"/>
        <w:rPr>
          <w:color w:val="000000"/>
        </w:rPr>
      </w:pPr>
      <w:r>
        <w:rPr>
          <w:color w:val="000000"/>
        </w:rPr>
        <w:tab/>
      </w:r>
      <w:r w:rsidRPr="00CE4E80">
        <w:rPr>
          <w:color w:val="000000"/>
        </w:rPr>
        <w:t xml:space="preserve">Gill, Anthony, </w:t>
      </w:r>
      <w:r>
        <w:rPr>
          <w:color w:val="000000"/>
        </w:rPr>
        <w:t xml:space="preserve">2001. </w:t>
      </w:r>
      <w:r w:rsidRPr="00CE4E80">
        <w:rPr>
          <w:color w:val="000000"/>
        </w:rPr>
        <w:t>“Religion and Comparative Politics</w:t>
      </w:r>
      <w:r>
        <w:rPr>
          <w:color w:val="000000"/>
        </w:rPr>
        <w:t xml:space="preserve">,” </w:t>
      </w:r>
      <w:r w:rsidRPr="000A57A7">
        <w:rPr>
          <w:i/>
          <w:iCs/>
          <w:color w:val="000000"/>
        </w:rPr>
        <w:t>Annual Review of Political Science,</w:t>
      </w:r>
      <w:r w:rsidRPr="00CE4E80">
        <w:rPr>
          <w:i/>
          <w:iCs/>
          <w:color w:val="000000"/>
        </w:rPr>
        <w:t xml:space="preserve"> </w:t>
      </w:r>
      <w:r>
        <w:rPr>
          <w:color w:val="000000"/>
        </w:rPr>
        <w:t>4</w:t>
      </w:r>
      <w:r w:rsidRPr="00CE4E80">
        <w:rPr>
          <w:color w:val="000000"/>
        </w:rPr>
        <w:t>: 117-38.</w:t>
      </w:r>
    </w:p>
    <w:p w14:paraId="15ADD911" w14:textId="77777777" w:rsidR="00940F11" w:rsidRPr="00940F11" w:rsidRDefault="00940F11" w:rsidP="005248A5">
      <w:pPr>
        <w:rPr>
          <w:rFonts w:asciiTheme="majorBidi" w:hAnsiTheme="majorBidi" w:cstheme="majorBidi"/>
          <w:rtl/>
        </w:rPr>
      </w:pPr>
    </w:p>
    <w:p w14:paraId="496D3086" w14:textId="67DC1E25" w:rsidR="00526C69" w:rsidRDefault="00C7635A" w:rsidP="002538A4">
      <w:pPr>
        <w:pStyle w:val="EndnoteText1"/>
        <w:bidi/>
        <w:spacing w:line="240" w:lineRule="auto"/>
        <w:rPr>
          <w:rFonts w:asciiTheme="majorBidi" w:hAnsiTheme="majorBidi" w:cstheme="majorBidi"/>
          <w:u w:val="single"/>
          <w:rtl/>
        </w:rPr>
      </w:pPr>
      <w:r>
        <w:rPr>
          <w:rFonts w:asciiTheme="majorBidi" w:hAnsiTheme="majorBidi" w:cstheme="majorBidi" w:hint="cs"/>
          <w:u w:val="single"/>
          <w:rtl/>
        </w:rPr>
        <w:t>שבוע 2:</w:t>
      </w:r>
      <w:r w:rsidR="001F751F" w:rsidRPr="006210C3">
        <w:rPr>
          <w:rFonts w:asciiTheme="majorBidi" w:hAnsiTheme="majorBidi" w:cstheme="majorBidi"/>
          <w:u w:val="single"/>
          <w:rtl/>
        </w:rPr>
        <w:t xml:space="preserve"> </w:t>
      </w:r>
      <w:r w:rsidR="00AB2FA6">
        <w:rPr>
          <w:rFonts w:asciiTheme="majorBidi" w:hAnsiTheme="majorBidi" w:cstheme="majorBidi" w:hint="cs"/>
          <w:u w:val="single"/>
          <w:rtl/>
        </w:rPr>
        <w:t xml:space="preserve">תיאוריית החילון, </w:t>
      </w:r>
      <w:r w:rsidR="00526C69" w:rsidRPr="006210C3">
        <w:rPr>
          <w:rFonts w:asciiTheme="majorBidi" w:hAnsiTheme="majorBidi" w:cstheme="majorBidi"/>
          <w:u w:val="single"/>
          <w:rtl/>
        </w:rPr>
        <w:t>חזרתה של הדת</w:t>
      </w:r>
      <w:r w:rsidR="00C24945">
        <w:rPr>
          <w:rFonts w:asciiTheme="majorBidi" w:hAnsiTheme="majorBidi" w:cstheme="majorBidi" w:hint="cs"/>
          <w:u w:val="single"/>
          <w:rtl/>
        </w:rPr>
        <w:t xml:space="preserve"> ושאלת הסמכות</w:t>
      </w:r>
    </w:p>
    <w:p w14:paraId="7CEB6C3A" w14:textId="77777777" w:rsidR="00F35B3D" w:rsidRDefault="00F35B3D" w:rsidP="00F35B3D">
      <w:pPr>
        <w:pStyle w:val="EndnoteText1"/>
        <w:bidi/>
        <w:spacing w:line="240" w:lineRule="auto"/>
        <w:rPr>
          <w:rFonts w:asciiTheme="majorBidi" w:hAnsiTheme="majorBidi" w:cstheme="majorBidi"/>
          <w:u w:val="single"/>
          <w:rtl/>
        </w:rPr>
      </w:pPr>
    </w:p>
    <w:p w14:paraId="6EA3EE52" w14:textId="77777777" w:rsidR="00C24945" w:rsidRDefault="00C24945" w:rsidP="005248A5">
      <w:pPr>
        <w:bidi w:val="0"/>
        <w:rPr>
          <w:rFonts w:asciiTheme="majorBidi" w:hAnsiTheme="majorBidi" w:cstheme="majorBidi"/>
        </w:rPr>
      </w:pPr>
      <w:r w:rsidRPr="006210C3">
        <w:rPr>
          <w:rFonts w:asciiTheme="majorBidi" w:hAnsiTheme="majorBidi" w:cstheme="majorBidi"/>
        </w:rPr>
        <w:lastRenderedPageBreak/>
        <w:t xml:space="preserve">Chaves, Mark. 1994. Secularization as Declining Religious Authority. </w:t>
      </w:r>
      <w:r w:rsidRPr="000A57A7">
        <w:rPr>
          <w:rFonts w:asciiTheme="majorBidi" w:hAnsiTheme="majorBidi" w:cstheme="majorBidi"/>
          <w:i/>
          <w:iCs/>
        </w:rPr>
        <w:t>Social Forces</w:t>
      </w:r>
      <w:r w:rsidRPr="006210C3">
        <w:rPr>
          <w:rFonts w:asciiTheme="majorBidi" w:hAnsiTheme="majorBidi" w:cstheme="majorBidi"/>
        </w:rPr>
        <w:t xml:space="preserve"> 72, 3: 749-774.</w:t>
      </w:r>
    </w:p>
    <w:p w14:paraId="21FAA65E" w14:textId="77777777" w:rsidR="00940F11" w:rsidRPr="006210C3" w:rsidRDefault="00940F11" w:rsidP="005248A5">
      <w:pPr>
        <w:bidi w:val="0"/>
        <w:rPr>
          <w:rFonts w:asciiTheme="majorBidi" w:hAnsiTheme="majorBidi" w:cstheme="majorBidi"/>
        </w:rPr>
      </w:pPr>
    </w:p>
    <w:p w14:paraId="27CD3140" w14:textId="6D855595" w:rsidR="00C24945" w:rsidRPr="00940F11" w:rsidRDefault="00C24945" w:rsidP="005248A5">
      <w:pPr>
        <w:pStyle w:val="bib"/>
        <w:spacing w:before="0" w:after="0" w:line="240" w:lineRule="auto"/>
        <w:ind w:left="0"/>
        <w:rPr>
          <w:sz w:val="24"/>
        </w:rPr>
      </w:pPr>
      <w:r>
        <w:rPr>
          <w:rStyle w:val="authorss"/>
          <w:b w:val="0"/>
          <w:bCs/>
        </w:rPr>
        <w:tab/>
      </w:r>
      <w:r w:rsidRPr="00940F11">
        <w:rPr>
          <w:rStyle w:val="authorss"/>
          <w:b w:val="0"/>
          <w:bCs/>
          <w:sz w:val="24"/>
        </w:rPr>
        <w:t>Casanova</w:t>
      </w:r>
      <w:r w:rsidRPr="00940F11">
        <w:rPr>
          <w:b/>
          <w:bCs/>
          <w:sz w:val="24"/>
        </w:rPr>
        <w:t xml:space="preserve">, </w:t>
      </w:r>
      <w:r w:rsidRPr="00940F11">
        <w:rPr>
          <w:rStyle w:val="authorsf"/>
          <w:b w:val="0"/>
          <w:bCs/>
          <w:sz w:val="24"/>
        </w:rPr>
        <w:t>Jose.</w:t>
      </w:r>
      <w:bookmarkStart w:id="0" w:name="tbbib48"/>
      <w:bookmarkEnd w:id="0"/>
      <w:r w:rsidRPr="00940F11">
        <w:rPr>
          <w:sz w:val="24"/>
        </w:rPr>
        <w:t xml:space="preserve">  </w:t>
      </w:r>
      <w:r w:rsidRPr="00940F11">
        <w:rPr>
          <w:rStyle w:val="date"/>
          <w:sz w:val="24"/>
        </w:rPr>
        <w:t>2006.</w:t>
      </w:r>
      <w:r w:rsidRPr="00940F11">
        <w:rPr>
          <w:sz w:val="24"/>
        </w:rPr>
        <w:t xml:space="preserve"> “Rethinking Secularization: A Global Comparative Perspective,” </w:t>
      </w:r>
      <w:r w:rsidRPr="000A57A7">
        <w:rPr>
          <w:rStyle w:val="journal-title"/>
          <w:sz w:val="24"/>
        </w:rPr>
        <w:t>The Hedgehog Review</w:t>
      </w:r>
      <w:r w:rsidRPr="00940F11">
        <w:rPr>
          <w:rStyle w:val="journal-title"/>
          <w:sz w:val="24"/>
        </w:rPr>
        <w:t>,</w:t>
      </w:r>
      <w:r w:rsidRPr="00940F11">
        <w:rPr>
          <w:sz w:val="24"/>
        </w:rPr>
        <w:t xml:space="preserve"> Spring</w:t>
      </w:r>
      <w:r w:rsidRPr="00940F11">
        <w:rPr>
          <w:sz w:val="24"/>
        </w:rPr>
        <w:sym w:font="Symbol" w:char="002F"/>
      </w:r>
      <w:r w:rsidRPr="00940F11">
        <w:rPr>
          <w:sz w:val="24"/>
        </w:rPr>
        <w:t xml:space="preserve">Summer: </w:t>
      </w:r>
      <w:r w:rsidRPr="00940F11">
        <w:rPr>
          <w:rStyle w:val="pageextent"/>
          <w:sz w:val="24"/>
        </w:rPr>
        <w:t>7–22</w:t>
      </w:r>
      <w:r w:rsidRPr="00940F11">
        <w:rPr>
          <w:sz w:val="24"/>
        </w:rPr>
        <w:t>.</w:t>
      </w:r>
    </w:p>
    <w:p w14:paraId="707E69AF" w14:textId="77777777" w:rsidR="007D7157" w:rsidRDefault="007D7157" w:rsidP="00CA7119">
      <w:pPr>
        <w:pStyle w:val="EndnoteText1"/>
        <w:bidi/>
        <w:spacing w:line="240" w:lineRule="auto"/>
        <w:rPr>
          <w:rFonts w:asciiTheme="majorBidi" w:hAnsiTheme="majorBidi" w:cstheme="majorBidi"/>
          <w:u w:val="single"/>
          <w:rtl/>
        </w:rPr>
      </w:pPr>
    </w:p>
    <w:p w14:paraId="76CF8F70" w14:textId="77777777" w:rsidR="00532DAD" w:rsidRDefault="00532DAD" w:rsidP="00CA7119">
      <w:pPr>
        <w:pStyle w:val="EndnoteText1"/>
        <w:bidi/>
        <w:spacing w:line="240" w:lineRule="auto"/>
        <w:rPr>
          <w:rFonts w:asciiTheme="majorBidi" w:hAnsiTheme="majorBidi" w:cstheme="majorBidi"/>
          <w:u w:val="single"/>
          <w:rtl/>
        </w:rPr>
      </w:pPr>
    </w:p>
    <w:p w14:paraId="26CD0865" w14:textId="72606354" w:rsidR="00C24945" w:rsidRDefault="00C24945" w:rsidP="00532DAD">
      <w:pPr>
        <w:pStyle w:val="EndnoteText1"/>
        <w:bidi/>
        <w:spacing w:line="240" w:lineRule="auto"/>
        <w:rPr>
          <w:rFonts w:asciiTheme="majorBidi" w:hAnsiTheme="majorBidi" w:cstheme="majorBidi"/>
          <w:u w:val="single"/>
        </w:rPr>
      </w:pPr>
      <w:r>
        <w:rPr>
          <w:rFonts w:asciiTheme="majorBidi" w:hAnsiTheme="majorBidi" w:cstheme="majorBidi" w:hint="cs"/>
          <w:u w:val="single"/>
          <w:rtl/>
        </w:rPr>
        <w:t>שבוע</w:t>
      </w:r>
      <w:r w:rsidR="002538A4">
        <w:rPr>
          <w:rFonts w:asciiTheme="majorBidi" w:hAnsiTheme="majorBidi" w:cstheme="majorBidi" w:hint="cs"/>
          <w:u w:val="single"/>
          <w:rtl/>
        </w:rPr>
        <w:t xml:space="preserve"> 3</w:t>
      </w:r>
      <w:r>
        <w:rPr>
          <w:rFonts w:asciiTheme="majorBidi" w:hAnsiTheme="majorBidi" w:cstheme="majorBidi" w:hint="cs"/>
          <w:u w:val="single"/>
          <w:rtl/>
        </w:rPr>
        <w:t xml:space="preserve">: </w:t>
      </w:r>
      <w:r w:rsidR="002538A4">
        <w:rPr>
          <w:rFonts w:asciiTheme="majorBidi" w:hAnsiTheme="majorBidi" w:cstheme="majorBidi" w:hint="cs"/>
          <w:u w:val="single"/>
          <w:rtl/>
        </w:rPr>
        <w:t>הפוליטיקה של המוסר</w:t>
      </w:r>
    </w:p>
    <w:p w14:paraId="32F6E2B8" w14:textId="77777777" w:rsidR="00BC0AD7" w:rsidRDefault="00BC0AD7" w:rsidP="00BC0AD7">
      <w:pPr>
        <w:pStyle w:val="EndnoteText1"/>
        <w:bidi/>
        <w:spacing w:line="240" w:lineRule="auto"/>
        <w:rPr>
          <w:rFonts w:asciiTheme="majorBidi" w:hAnsiTheme="majorBidi" w:cstheme="majorBidi"/>
          <w:u w:val="single"/>
        </w:rPr>
      </w:pPr>
    </w:p>
    <w:p w14:paraId="5F5BFB93" w14:textId="2F6B8FDB" w:rsidR="00BC0AD7" w:rsidRDefault="00BC0AD7" w:rsidP="00BC0AD7">
      <w:pPr>
        <w:pStyle w:val="EndnoteText1"/>
        <w:spacing w:line="240" w:lineRule="auto"/>
        <w:rPr>
          <w:rFonts w:asciiTheme="majorBidi" w:hAnsiTheme="majorBidi" w:cstheme="majorBidi"/>
          <w:u w:val="single"/>
          <w:rtl/>
        </w:rPr>
      </w:pPr>
      <w:r>
        <w:rPr>
          <w:color w:val="222222"/>
          <w:sz w:val="20"/>
          <w:szCs w:val="20"/>
          <w:shd w:val="clear" w:color="auto" w:fill="FFFFFF"/>
        </w:rPr>
        <w:t>Doan, A. (2014). Morality politics.</w:t>
      </w:r>
    </w:p>
    <w:p w14:paraId="18799223" w14:textId="77777777" w:rsidR="002538A4" w:rsidRDefault="002538A4" w:rsidP="002538A4">
      <w:pPr>
        <w:pStyle w:val="EndnoteText1"/>
        <w:bidi/>
        <w:spacing w:line="240" w:lineRule="auto"/>
        <w:rPr>
          <w:rFonts w:asciiTheme="majorBidi" w:hAnsiTheme="majorBidi" w:cstheme="majorBidi"/>
          <w:u w:val="single"/>
          <w:rtl/>
        </w:rPr>
      </w:pPr>
    </w:p>
    <w:p w14:paraId="01FEE740" w14:textId="1CA73A41" w:rsidR="002538A4" w:rsidRDefault="002538A4" w:rsidP="002538A4">
      <w:pPr>
        <w:pStyle w:val="EndnoteText1"/>
        <w:bidi/>
        <w:spacing w:line="240" w:lineRule="auto"/>
        <w:rPr>
          <w:rFonts w:asciiTheme="majorBidi" w:hAnsiTheme="majorBidi" w:cstheme="majorBidi"/>
          <w:u w:val="single"/>
          <w:rtl/>
        </w:rPr>
      </w:pPr>
      <w:r>
        <w:rPr>
          <w:rFonts w:asciiTheme="majorBidi" w:hAnsiTheme="majorBidi" w:cstheme="majorBidi" w:hint="cs"/>
          <w:u w:val="single"/>
          <w:rtl/>
        </w:rPr>
        <w:t>שבוע 4: מלחמת תרבות</w:t>
      </w:r>
    </w:p>
    <w:p w14:paraId="02B9F3EB" w14:textId="77777777" w:rsidR="002538A4" w:rsidRDefault="002538A4" w:rsidP="002538A4">
      <w:pPr>
        <w:pStyle w:val="EndnoteText1"/>
        <w:bidi/>
        <w:spacing w:line="240" w:lineRule="auto"/>
        <w:rPr>
          <w:rFonts w:asciiTheme="majorBidi" w:hAnsiTheme="majorBidi" w:cstheme="majorBidi"/>
          <w:u w:val="single"/>
          <w:rtl/>
        </w:rPr>
      </w:pPr>
    </w:p>
    <w:p w14:paraId="7FB10D72" w14:textId="3A135741" w:rsidR="002538A4" w:rsidRDefault="002538A4" w:rsidP="00944907">
      <w:pPr>
        <w:bidi w:val="0"/>
        <w:rPr>
          <w:rFonts w:asciiTheme="majorBidi" w:hAnsiTheme="majorBidi" w:cs="Times New Roman"/>
          <w:rtl/>
        </w:rPr>
      </w:pPr>
      <w:r w:rsidRPr="00436A45">
        <w:rPr>
          <w:rFonts w:asciiTheme="majorBidi" w:hAnsiTheme="majorBidi" w:cstheme="majorBidi"/>
        </w:rPr>
        <w:t>Morris Fiorina, Samuel Abrams, and Jeremy Pope</w:t>
      </w:r>
      <w:r w:rsidR="00944907">
        <w:rPr>
          <w:rFonts w:asciiTheme="majorBidi" w:hAnsiTheme="majorBidi" w:cstheme="majorBidi"/>
        </w:rPr>
        <w:t>. 2006.</w:t>
      </w:r>
      <w:r w:rsidRPr="00436A45">
        <w:rPr>
          <w:rFonts w:asciiTheme="majorBidi" w:hAnsiTheme="majorBidi" w:cstheme="majorBidi"/>
        </w:rPr>
        <w:t xml:space="preserve"> </w:t>
      </w:r>
      <w:r w:rsidRPr="000A57A7">
        <w:rPr>
          <w:rFonts w:asciiTheme="majorBidi" w:hAnsiTheme="majorBidi" w:cstheme="majorBidi"/>
          <w:i/>
          <w:iCs/>
        </w:rPr>
        <w:t>Culture War? The Myth of a Polarized America</w:t>
      </w:r>
      <w:r w:rsidRPr="00436A45">
        <w:rPr>
          <w:rFonts w:asciiTheme="majorBidi" w:hAnsiTheme="majorBidi" w:cs="Times New Roman"/>
          <w:rtl/>
        </w:rPr>
        <w:t>,</w:t>
      </w:r>
      <w:r w:rsidRPr="00436A45">
        <w:rPr>
          <w:rFonts w:asciiTheme="majorBidi" w:hAnsiTheme="majorBidi" w:cstheme="majorBidi"/>
        </w:rPr>
        <w:t>. New York: Pearson Longman</w:t>
      </w:r>
      <w:r w:rsidR="00944907">
        <w:rPr>
          <w:rFonts w:asciiTheme="majorBidi" w:hAnsiTheme="majorBidi" w:cstheme="majorBidi"/>
        </w:rPr>
        <w:t xml:space="preserve">: </w:t>
      </w:r>
      <w:r w:rsidRPr="00436A45">
        <w:rPr>
          <w:rFonts w:asciiTheme="majorBidi" w:hAnsiTheme="majorBidi" w:cstheme="majorBidi"/>
        </w:rPr>
        <w:t>chaps. 1-2</w:t>
      </w:r>
      <w:r w:rsidRPr="00436A45">
        <w:rPr>
          <w:rFonts w:asciiTheme="majorBidi" w:hAnsiTheme="majorBidi" w:cs="Times New Roman"/>
          <w:rtl/>
        </w:rPr>
        <w:t>.</w:t>
      </w:r>
    </w:p>
    <w:p w14:paraId="23066F60" w14:textId="79D2F387" w:rsidR="001F0867" w:rsidRDefault="00944907" w:rsidP="00944907">
      <w:pPr>
        <w:pStyle w:val="bib"/>
        <w:spacing w:line="240" w:lineRule="auto"/>
        <w:ind w:left="0"/>
        <w:jc w:val="right"/>
        <w:rPr>
          <w:rtl/>
          <w:lang w:bidi="he-IL"/>
        </w:rPr>
      </w:pPr>
      <w:r>
        <w:rPr>
          <w:rFonts w:hint="cs"/>
          <w:rtl/>
          <w:lang w:bidi="he-IL"/>
        </w:rPr>
        <w:t xml:space="preserve">רביצקי, אביעזר. 1997. </w:t>
      </w:r>
      <w:r w:rsidRPr="000A57A7">
        <w:rPr>
          <w:rFonts w:hint="cs"/>
          <w:i/>
          <w:iCs/>
          <w:rtl/>
          <w:lang w:bidi="he-IL"/>
        </w:rPr>
        <w:t>דתיים וחילונים בישראל: מלחמת תרבות?</w:t>
      </w:r>
      <w:r>
        <w:rPr>
          <w:rFonts w:hint="cs"/>
          <w:rtl/>
          <w:lang w:bidi="he-IL"/>
        </w:rPr>
        <w:t>. ירושלים: המכון הישראלי לדמוקרטיה.</w:t>
      </w:r>
    </w:p>
    <w:p w14:paraId="152385F3" w14:textId="26744E8D" w:rsidR="00944907" w:rsidRPr="00944907" w:rsidRDefault="00944907" w:rsidP="00944907">
      <w:pPr>
        <w:pStyle w:val="bib"/>
        <w:bidi/>
        <w:spacing w:line="240" w:lineRule="auto"/>
        <w:ind w:left="0"/>
        <w:jc w:val="right"/>
        <w:rPr>
          <w:rFonts w:asciiTheme="majorBidi" w:hAnsiTheme="majorBidi" w:cstheme="majorBidi"/>
          <w:sz w:val="24"/>
          <w:rtl/>
          <w:lang w:bidi="he-IL"/>
        </w:rPr>
      </w:pPr>
      <w:r w:rsidRPr="00944907">
        <w:rPr>
          <w:rFonts w:asciiTheme="majorBidi" w:hAnsiTheme="majorBidi" w:cstheme="majorBidi"/>
          <w:color w:val="222222"/>
          <w:sz w:val="24"/>
          <w:shd w:val="clear" w:color="auto" w:fill="FFFFFF"/>
        </w:rPr>
        <w:t>Ben‐Porat, G. and Feniger, Y., 2012. It takes two for a culture war. </w:t>
      </w:r>
      <w:r w:rsidRPr="00944907">
        <w:rPr>
          <w:rFonts w:asciiTheme="majorBidi" w:hAnsiTheme="majorBidi" w:cstheme="majorBidi"/>
          <w:i/>
          <w:iCs/>
          <w:color w:val="222222"/>
          <w:sz w:val="24"/>
          <w:shd w:val="clear" w:color="auto" w:fill="FFFFFF"/>
        </w:rPr>
        <w:t>Social Science Quarterly</w:t>
      </w:r>
      <w:r w:rsidRPr="00944907">
        <w:rPr>
          <w:rFonts w:asciiTheme="majorBidi" w:hAnsiTheme="majorBidi" w:cstheme="majorBidi"/>
          <w:color w:val="222222"/>
          <w:sz w:val="24"/>
          <w:shd w:val="clear" w:color="auto" w:fill="FFFFFF"/>
        </w:rPr>
        <w:t>, </w:t>
      </w:r>
      <w:r w:rsidRPr="00944907">
        <w:rPr>
          <w:rFonts w:asciiTheme="majorBidi" w:hAnsiTheme="majorBidi" w:cstheme="majorBidi"/>
          <w:i/>
          <w:iCs/>
          <w:color w:val="222222"/>
          <w:sz w:val="24"/>
          <w:shd w:val="clear" w:color="auto" w:fill="FFFFFF"/>
        </w:rPr>
        <w:t>93</w:t>
      </w:r>
      <w:r w:rsidRPr="00944907">
        <w:rPr>
          <w:rFonts w:asciiTheme="majorBidi" w:hAnsiTheme="majorBidi" w:cstheme="majorBidi"/>
          <w:color w:val="222222"/>
          <w:sz w:val="24"/>
          <w:shd w:val="clear" w:color="auto" w:fill="FFFFFF"/>
        </w:rPr>
        <w:t>(3), pp.838-857.</w:t>
      </w:r>
    </w:p>
    <w:p w14:paraId="52D6DA1F" w14:textId="77777777" w:rsidR="00944907" w:rsidRPr="002D0AFC" w:rsidRDefault="00944907" w:rsidP="00944907">
      <w:pPr>
        <w:pStyle w:val="bib"/>
        <w:spacing w:line="240" w:lineRule="auto"/>
        <w:ind w:left="0"/>
        <w:jc w:val="right"/>
        <w:rPr>
          <w:rtl/>
          <w:lang w:bidi="he-IL"/>
        </w:rPr>
      </w:pPr>
    </w:p>
    <w:p w14:paraId="5E871693" w14:textId="576468CF" w:rsidR="00944907" w:rsidRDefault="00944907" w:rsidP="00944907">
      <w:pPr>
        <w:pStyle w:val="bib"/>
        <w:bidi/>
        <w:spacing w:before="0" w:after="0" w:line="240" w:lineRule="auto"/>
        <w:jc w:val="both"/>
        <w:rPr>
          <w:sz w:val="24"/>
          <w:u w:val="single"/>
          <w:rtl/>
          <w:lang w:bidi="he-IL"/>
        </w:rPr>
      </w:pPr>
      <w:r>
        <w:rPr>
          <w:rFonts w:hint="cs"/>
          <w:sz w:val="24"/>
          <w:u w:val="single"/>
          <w:rtl/>
          <w:lang w:bidi="he-IL"/>
        </w:rPr>
        <w:t>שבוע 5: מדינה מסדירה משפחה</w:t>
      </w:r>
    </w:p>
    <w:p w14:paraId="7F79E71B" w14:textId="77777777" w:rsidR="00944907" w:rsidRDefault="00944907" w:rsidP="00944907">
      <w:pPr>
        <w:pStyle w:val="bib"/>
        <w:bidi/>
        <w:spacing w:before="0" w:after="0" w:line="240" w:lineRule="auto"/>
        <w:jc w:val="both"/>
        <w:rPr>
          <w:sz w:val="24"/>
          <w:u w:val="single"/>
          <w:rtl/>
          <w:lang w:bidi="he-IL"/>
        </w:rPr>
      </w:pPr>
    </w:p>
    <w:p w14:paraId="02A3F19F" w14:textId="77777777" w:rsidR="00944907" w:rsidRDefault="00944907" w:rsidP="00944907">
      <w:pPr>
        <w:autoSpaceDE w:val="0"/>
        <w:autoSpaceDN w:val="0"/>
        <w:adjustRightInd w:val="0"/>
        <w:rPr>
          <w:rFonts w:asciiTheme="majorBidi" w:hAnsiTheme="majorBidi" w:cstheme="majorBidi"/>
          <w:rtl/>
        </w:rPr>
      </w:pPr>
      <w:r>
        <w:rPr>
          <w:rFonts w:asciiTheme="majorBidi" w:hAnsiTheme="majorBidi" w:cstheme="majorBidi" w:hint="cs"/>
          <w:rtl/>
        </w:rPr>
        <w:t xml:space="preserve">בן-פורת, גיא. 2016. </w:t>
      </w:r>
      <w:r w:rsidRPr="000A57A7">
        <w:rPr>
          <w:rFonts w:asciiTheme="majorBidi" w:hAnsiTheme="majorBidi" w:cstheme="majorBidi" w:hint="cs"/>
          <w:i/>
          <w:iCs/>
          <w:rtl/>
        </w:rPr>
        <w:t>הלכה למעשה: חילונו של המרחב הציבורי בישראל</w:t>
      </w:r>
      <w:r>
        <w:rPr>
          <w:rFonts w:asciiTheme="majorBidi" w:hAnsiTheme="majorBidi" w:cstheme="majorBidi" w:hint="cs"/>
          <w:rtl/>
        </w:rPr>
        <w:t>. תל-אביב: פרדס</w:t>
      </w:r>
    </w:p>
    <w:p w14:paraId="66790925" w14:textId="77777777" w:rsidR="00944907" w:rsidRDefault="00944907" w:rsidP="00944907">
      <w:pPr>
        <w:autoSpaceDE w:val="0"/>
        <w:autoSpaceDN w:val="0"/>
        <w:adjustRightInd w:val="0"/>
        <w:rPr>
          <w:rFonts w:asciiTheme="majorBidi" w:hAnsiTheme="majorBidi" w:cstheme="majorBidi"/>
          <w:rtl/>
        </w:rPr>
      </w:pPr>
    </w:p>
    <w:p w14:paraId="38A458F4" w14:textId="236FB605" w:rsidR="00944907" w:rsidRDefault="00944907" w:rsidP="00944907">
      <w:pPr>
        <w:autoSpaceDE w:val="0"/>
        <w:autoSpaceDN w:val="0"/>
        <w:bidi w:val="0"/>
        <w:adjustRightInd w:val="0"/>
        <w:rPr>
          <w:rFonts w:asciiTheme="majorBidi" w:hAnsiTheme="majorBidi" w:cstheme="majorBidi"/>
        </w:rPr>
      </w:pPr>
      <w:r>
        <w:rPr>
          <w:rFonts w:asciiTheme="majorBidi" w:hAnsiTheme="majorBidi" w:cstheme="majorBidi"/>
        </w:rPr>
        <w:t xml:space="preserve">Coontz, Stephanie. </w:t>
      </w:r>
      <w:r w:rsidR="00532DAD">
        <w:rPr>
          <w:rFonts w:asciiTheme="majorBidi" w:hAnsiTheme="majorBidi" w:cstheme="majorBidi"/>
        </w:rPr>
        <w:t xml:space="preserve">2005. </w:t>
      </w:r>
      <w:r w:rsidRPr="000A57A7">
        <w:rPr>
          <w:rFonts w:asciiTheme="majorBidi" w:hAnsiTheme="majorBidi" w:cstheme="majorBidi"/>
          <w:i/>
          <w:iCs/>
        </w:rPr>
        <w:t>Marriage: a History</w:t>
      </w:r>
      <w:r>
        <w:rPr>
          <w:rFonts w:asciiTheme="majorBidi" w:hAnsiTheme="majorBidi" w:cstheme="majorBidi"/>
        </w:rPr>
        <w:t xml:space="preserve">. </w:t>
      </w:r>
      <w:r w:rsidR="00532DAD">
        <w:rPr>
          <w:rFonts w:asciiTheme="majorBidi" w:hAnsiTheme="majorBidi" w:cstheme="majorBidi"/>
        </w:rPr>
        <w:t>Penguin Books</w:t>
      </w:r>
    </w:p>
    <w:p w14:paraId="54B5D3B1" w14:textId="77777777" w:rsidR="00944907" w:rsidRDefault="00944907" w:rsidP="001F0867">
      <w:pPr>
        <w:pStyle w:val="bib"/>
        <w:bidi/>
        <w:spacing w:before="0" w:after="0" w:line="240" w:lineRule="auto"/>
        <w:jc w:val="both"/>
        <w:rPr>
          <w:sz w:val="24"/>
          <w:u w:val="single"/>
          <w:rtl/>
          <w:lang w:bidi="he-IL"/>
        </w:rPr>
      </w:pPr>
    </w:p>
    <w:p w14:paraId="54A718DD" w14:textId="77777777" w:rsidR="00532DAD" w:rsidRDefault="00532DAD" w:rsidP="00532DAD">
      <w:pPr>
        <w:pStyle w:val="bib"/>
        <w:bidi/>
        <w:spacing w:before="0" w:after="0" w:line="240" w:lineRule="auto"/>
        <w:jc w:val="both"/>
        <w:rPr>
          <w:sz w:val="24"/>
          <w:u w:val="single"/>
          <w:lang w:bidi="he-IL"/>
        </w:rPr>
      </w:pPr>
      <w:r>
        <w:rPr>
          <w:rFonts w:hint="cs"/>
          <w:sz w:val="24"/>
          <w:u w:val="single"/>
          <w:rtl/>
          <w:lang w:bidi="he-IL"/>
        </w:rPr>
        <w:t>שבוע 6: המשפחה בעידן הניאו-שמרני</w:t>
      </w:r>
    </w:p>
    <w:p w14:paraId="2971C7CE" w14:textId="77777777" w:rsidR="00532DAD" w:rsidRDefault="00532DAD" w:rsidP="00532DAD">
      <w:pPr>
        <w:pStyle w:val="bib"/>
        <w:bidi/>
        <w:spacing w:before="0" w:after="0" w:line="240" w:lineRule="auto"/>
        <w:jc w:val="both"/>
        <w:rPr>
          <w:sz w:val="24"/>
          <w:u w:val="single"/>
          <w:rtl/>
          <w:lang w:bidi="he-IL"/>
        </w:rPr>
      </w:pPr>
    </w:p>
    <w:p w14:paraId="43D13861" w14:textId="04510AB4" w:rsidR="00532DAD" w:rsidRPr="00532DAD" w:rsidRDefault="00532DAD" w:rsidP="00532DAD">
      <w:pPr>
        <w:pStyle w:val="bib"/>
        <w:spacing w:before="0" w:after="0" w:line="240" w:lineRule="auto"/>
        <w:rPr>
          <w:rFonts w:asciiTheme="majorBidi" w:hAnsiTheme="majorBidi" w:cstheme="majorBidi"/>
          <w:sz w:val="24"/>
          <w:u w:val="single"/>
          <w:lang w:bidi="he-IL"/>
        </w:rPr>
      </w:pPr>
      <w:r w:rsidRPr="00532DAD">
        <w:rPr>
          <w:rFonts w:asciiTheme="majorBidi" w:hAnsiTheme="majorBidi" w:cstheme="majorBidi"/>
          <w:color w:val="222222"/>
          <w:sz w:val="24"/>
          <w:shd w:val="clear" w:color="auto" w:fill="FFFFFF"/>
        </w:rPr>
        <w:t>Cooper, M., 2020. Neoliberalism’s family values: welfare, human capital, and kinship. </w:t>
      </w:r>
      <w:r w:rsidRPr="00532DAD">
        <w:rPr>
          <w:rFonts w:asciiTheme="majorBidi" w:hAnsiTheme="majorBidi" w:cstheme="majorBidi"/>
          <w:i/>
          <w:iCs/>
          <w:color w:val="222222"/>
          <w:sz w:val="24"/>
          <w:shd w:val="clear" w:color="auto" w:fill="FFFFFF"/>
        </w:rPr>
        <w:t>Nine Lives of Neoliberalism</w:t>
      </w:r>
      <w:r w:rsidRPr="00532DAD">
        <w:rPr>
          <w:rFonts w:asciiTheme="majorBidi" w:hAnsiTheme="majorBidi" w:cstheme="majorBidi"/>
          <w:color w:val="222222"/>
          <w:sz w:val="24"/>
          <w:shd w:val="clear" w:color="auto" w:fill="FFFFFF"/>
        </w:rPr>
        <w:t>, p.95.</w:t>
      </w:r>
    </w:p>
    <w:p w14:paraId="7FED7B7B" w14:textId="77777777" w:rsidR="00532DAD" w:rsidRPr="00532DAD" w:rsidRDefault="00532DAD" w:rsidP="00532DAD">
      <w:pPr>
        <w:pStyle w:val="bib"/>
        <w:spacing w:before="0" w:after="0" w:line="240" w:lineRule="auto"/>
        <w:rPr>
          <w:rFonts w:asciiTheme="majorBidi" w:hAnsiTheme="majorBidi" w:cstheme="majorBidi"/>
          <w:sz w:val="24"/>
          <w:u w:val="single"/>
          <w:lang w:bidi="he-IL"/>
        </w:rPr>
      </w:pPr>
    </w:p>
    <w:p w14:paraId="78516085" w14:textId="48312D31" w:rsidR="00F806C0" w:rsidRDefault="002D0AFC" w:rsidP="00532DAD">
      <w:pPr>
        <w:pStyle w:val="bib"/>
        <w:bidi/>
        <w:spacing w:before="0" w:after="0" w:line="240" w:lineRule="auto"/>
        <w:jc w:val="both"/>
        <w:rPr>
          <w:sz w:val="24"/>
          <w:u w:val="single"/>
          <w:rtl/>
          <w:lang w:bidi="he-IL"/>
        </w:rPr>
      </w:pPr>
      <w:r w:rsidRPr="002D0AFC">
        <w:rPr>
          <w:rFonts w:hint="cs"/>
          <w:sz w:val="24"/>
          <w:u w:val="single"/>
          <w:rtl/>
          <w:lang w:bidi="he-IL"/>
        </w:rPr>
        <w:t xml:space="preserve">שבוע </w:t>
      </w:r>
      <w:r w:rsidR="00532DAD">
        <w:rPr>
          <w:sz w:val="24"/>
          <w:u w:val="single"/>
          <w:lang w:bidi="he-IL"/>
        </w:rPr>
        <w:t>7</w:t>
      </w:r>
      <w:r w:rsidRPr="002D0AFC">
        <w:rPr>
          <w:rFonts w:hint="cs"/>
          <w:sz w:val="24"/>
          <w:u w:val="single"/>
          <w:rtl/>
          <w:lang w:bidi="he-IL"/>
        </w:rPr>
        <w:t xml:space="preserve">: </w:t>
      </w:r>
      <w:r w:rsidR="00532DAD">
        <w:rPr>
          <w:rFonts w:hint="cs"/>
          <w:sz w:val="24"/>
          <w:u w:val="single"/>
          <w:rtl/>
          <w:lang w:bidi="he-IL"/>
        </w:rPr>
        <w:t>אלטרנטיבות והמאבק על ערכי המשפחה</w:t>
      </w:r>
    </w:p>
    <w:p w14:paraId="677CD2A3" w14:textId="77777777" w:rsidR="002538A4" w:rsidRDefault="002538A4" w:rsidP="002538A4">
      <w:pPr>
        <w:pStyle w:val="bib"/>
        <w:bidi/>
        <w:spacing w:before="0" w:after="0" w:line="240" w:lineRule="auto"/>
        <w:jc w:val="both"/>
        <w:rPr>
          <w:sz w:val="24"/>
          <w:u w:val="single"/>
          <w:rtl/>
          <w:lang w:bidi="he-IL"/>
        </w:rPr>
      </w:pPr>
    </w:p>
    <w:p w14:paraId="112C2F80" w14:textId="52924168" w:rsidR="00C46B6A" w:rsidRDefault="00C46B6A" w:rsidP="00F806C0">
      <w:pPr>
        <w:pStyle w:val="bib"/>
        <w:bidi/>
        <w:spacing w:before="0" w:after="0" w:line="240" w:lineRule="auto"/>
        <w:jc w:val="both"/>
        <w:rPr>
          <w:color w:val="000000"/>
          <w:sz w:val="27"/>
          <w:szCs w:val="27"/>
          <w:rtl/>
        </w:rPr>
      </w:pPr>
      <w:r>
        <w:rPr>
          <w:color w:val="000000"/>
          <w:sz w:val="27"/>
          <w:szCs w:val="27"/>
          <w:rtl/>
        </w:rPr>
        <w:t xml:space="preserve">פוגל-ביז'אוי, ס. 1999. </w:t>
      </w:r>
      <w:r w:rsidR="000A57A7">
        <w:rPr>
          <w:color w:val="000000"/>
          <w:sz w:val="27"/>
          <w:szCs w:val="27"/>
        </w:rPr>
        <w:t>“</w:t>
      </w:r>
      <w:r>
        <w:rPr>
          <w:color w:val="000000"/>
          <w:sz w:val="27"/>
          <w:szCs w:val="27"/>
          <w:rtl/>
        </w:rPr>
        <w:t>משפחות בישראל: בין משפחתיות לפוסט-מודרניות.</w:t>
      </w:r>
      <w:r w:rsidR="000A57A7">
        <w:rPr>
          <w:color w:val="000000"/>
          <w:sz w:val="27"/>
          <w:szCs w:val="27"/>
        </w:rPr>
        <w:t>”</w:t>
      </w:r>
      <w:r>
        <w:rPr>
          <w:color w:val="000000"/>
          <w:sz w:val="27"/>
          <w:szCs w:val="27"/>
          <w:rtl/>
        </w:rPr>
        <w:t xml:space="preserve"> בתוך: ד. יזרעאלי, א. פרידמן ועמיתיהן, </w:t>
      </w:r>
      <w:r w:rsidRPr="000A57A7">
        <w:rPr>
          <w:i/>
          <w:iCs/>
          <w:color w:val="000000"/>
          <w:sz w:val="27"/>
          <w:szCs w:val="27"/>
          <w:rtl/>
        </w:rPr>
        <w:t>מין מיגדר ופוליטיקה</w:t>
      </w:r>
      <w:r>
        <w:rPr>
          <w:color w:val="000000"/>
          <w:sz w:val="27"/>
          <w:szCs w:val="27"/>
          <w:rtl/>
        </w:rPr>
        <w:t>, תל אביב: קו אדום</w:t>
      </w:r>
    </w:p>
    <w:p w14:paraId="170CEDA6" w14:textId="77777777" w:rsidR="00532DAD" w:rsidRDefault="00532DAD" w:rsidP="00532DAD">
      <w:pPr>
        <w:pStyle w:val="bib"/>
        <w:bidi/>
        <w:spacing w:before="0" w:after="0" w:line="240" w:lineRule="auto"/>
        <w:jc w:val="both"/>
        <w:rPr>
          <w:color w:val="000000"/>
          <w:sz w:val="27"/>
          <w:szCs w:val="27"/>
          <w:rtl/>
        </w:rPr>
      </w:pPr>
    </w:p>
    <w:p w14:paraId="3E7FFB41" w14:textId="06E6A04F" w:rsidR="00C46B6A" w:rsidRDefault="00C46B6A" w:rsidP="00C46B6A">
      <w:pPr>
        <w:pStyle w:val="bib"/>
        <w:bidi/>
        <w:spacing w:before="0" w:after="0" w:line="240" w:lineRule="auto"/>
        <w:jc w:val="both"/>
        <w:rPr>
          <w:color w:val="000000"/>
          <w:sz w:val="27"/>
          <w:szCs w:val="27"/>
          <w:u w:val="single"/>
          <w:rtl/>
          <w:lang w:bidi="he-IL"/>
        </w:rPr>
      </w:pPr>
      <w:r>
        <w:rPr>
          <w:rFonts w:hint="cs"/>
          <w:color w:val="000000"/>
          <w:sz w:val="27"/>
          <w:szCs w:val="27"/>
          <w:rtl/>
          <w:lang w:bidi="he-IL"/>
        </w:rPr>
        <w:t xml:space="preserve">יעל לוי-חזן. </w:t>
      </w:r>
      <w:r w:rsidR="00F92D4E">
        <w:rPr>
          <w:rFonts w:hint="cs"/>
          <w:color w:val="000000"/>
          <w:sz w:val="27"/>
          <w:szCs w:val="27"/>
          <w:rtl/>
          <w:lang w:bidi="he-IL"/>
        </w:rPr>
        <w:t xml:space="preserve">"הורות קווירית." </w:t>
      </w:r>
      <w:r w:rsidR="00F92D4E">
        <w:rPr>
          <w:rFonts w:hint="cs"/>
          <w:color w:val="000000"/>
          <w:sz w:val="27"/>
          <w:szCs w:val="27"/>
          <w:u w:val="single"/>
          <w:rtl/>
          <w:lang w:bidi="he-IL"/>
        </w:rPr>
        <w:t>מפתח</w:t>
      </w:r>
    </w:p>
    <w:p w14:paraId="021E6DB4" w14:textId="77777777" w:rsidR="00532DAD" w:rsidRDefault="00532DAD" w:rsidP="00532DAD">
      <w:pPr>
        <w:pStyle w:val="bib"/>
        <w:bidi/>
        <w:spacing w:before="0" w:after="0" w:line="240" w:lineRule="auto"/>
        <w:jc w:val="both"/>
        <w:rPr>
          <w:color w:val="000000"/>
          <w:sz w:val="27"/>
          <w:szCs w:val="27"/>
          <w:u w:val="single"/>
          <w:rtl/>
          <w:lang w:bidi="he-IL"/>
        </w:rPr>
      </w:pPr>
    </w:p>
    <w:p w14:paraId="53C09656" w14:textId="2BAFA1F3" w:rsidR="00B131A7" w:rsidRPr="00B131A7" w:rsidRDefault="00B131A7" w:rsidP="00B131A7">
      <w:pPr>
        <w:pStyle w:val="bib"/>
        <w:bidi/>
        <w:spacing w:before="0" w:after="0" w:line="240" w:lineRule="auto"/>
        <w:jc w:val="both"/>
        <w:rPr>
          <w:color w:val="000000"/>
          <w:sz w:val="27"/>
          <w:szCs w:val="27"/>
          <w:u w:val="single"/>
          <w:rtl/>
          <w:lang w:bidi="he-IL"/>
        </w:rPr>
      </w:pPr>
      <w:r>
        <w:rPr>
          <w:rFonts w:hint="cs"/>
          <w:color w:val="000000"/>
          <w:sz w:val="27"/>
          <w:szCs w:val="27"/>
          <w:rtl/>
          <w:lang w:bidi="he-IL"/>
        </w:rPr>
        <w:t xml:space="preserve">חיים נבון. "נלחמים על הבית" </w:t>
      </w:r>
      <w:r>
        <w:rPr>
          <w:rFonts w:hint="cs"/>
          <w:color w:val="000000"/>
          <w:sz w:val="27"/>
          <w:szCs w:val="27"/>
          <w:u w:val="single"/>
          <w:rtl/>
          <w:lang w:bidi="he-IL"/>
        </w:rPr>
        <w:t>השילוח</w:t>
      </w:r>
    </w:p>
    <w:p w14:paraId="047A6554" w14:textId="77777777" w:rsidR="00C46B6A" w:rsidRDefault="00C46B6A" w:rsidP="00C46B6A">
      <w:pPr>
        <w:pStyle w:val="bib"/>
        <w:bidi/>
        <w:spacing w:before="0" w:after="0" w:line="240" w:lineRule="auto"/>
        <w:jc w:val="both"/>
        <w:rPr>
          <w:sz w:val="24"/>
          <w:u w:val="single"/>
          <w:lang w:bidi="he-IL"/>
        </w:rPr>
      </w:pPr>
    </w:p>
    <w:p w14:paraId="557FFA68" w14:textId="77777777" w:rsidR="002538A4" w:rsidRDefault="002538A4" w:rsidP="002538A4">
      <w:pPr>
        <w:pStyle w:val="bib"/>
        <w:bidi/>
        <w:spacing w:before="0" w:after="0" w:line="240" w:lineRule="auto"/>
        <w:jc w:val="both"/>
        <w:rPr>
          <w:sz w:val="24"/>
          <w:u w:val="single"/>
          <w:rtl/>
          <w:lang w:bidi="he-IL"/>
        </w:rPr>
      </w:pPr>
    </w:p>
    <w:p w14:paraId="17755127" w14:textId="409DFF2B" w:rsidR="00532DAD" w:rsidRDefault="00B131A7" w:rsidP="00532DAD">
      <w:pPr>
        <w:rPr>
          <w:rFonts w:asciiTheme="majorBidi" w:hAnsiTheme="majorBidi" w:cstheme="majorBidi"/>
          <w:u w:val="single"/>
          <w:rtl/>
        </w:rPr>
      </w:pPr>
      <w:r>
        <w:rPr>
          <w:rFonts w:asciiTheme="majorBidi" w:hAnsiTheme="majorBidi" w:cstheme="majorBidi" w:hint="cs"/>
          <w:u w:val="single"/>
          <w:rtl/>
        </w:rPr>
        <w:t xml:space="preserve">שיעור 8 </w:t>
      </w:r>
      <w:r w:rsidR="00532DAD">
        <w:rPr>
          <w:rFonts w:asciiTheme="majorBidi" w:hAnsiTheme="majorBidi" w:cstheme="majorBidi"/>
          <w:u w:val="single"/>
          <w:rtl/>
        </w:rPr>
        <w:t>–</w:t>
      </w:r>
      <w:r w:rsidR="00532DAD">
        <w:rPr>
          <w:rFonts w:asciiTheme="majorBidi" w:hAnsiTheme="majorBidi" w:cstheme="majorBidi" w:hint="cs"/>
          <w:u w:val="single"/>
          <w:rtl/>
        </w:rPr>
        <w:t xml:space="preserve"> הזכות להינשא</w:t>
      </w:r>
      <w:r w:rsidR="00D075C2">
        <w:rPr>
          <w:rFonts w:asciiTheme="majorBidi" w:hAnsiTheme="majorBidi" w:cstheme="majorBidi" w:hint="cs"/>
          <w:u w:val="single"/>
          <w:rtl/>
        </w:rPr>
        <w:t xml:space="preserve"> ושאלת הלהטב"ק</w:t>
      </w:r>
    </w:p>
    <w:p w14:paraId="0AB70250" w14:textId="77777777" w:rsidR="00532DAD" w:rsidRDefault="00532DAD" w:rsidP="00532DAD">
      <w:pPr>
        <w:rPr>
          <w:rFonts w:asciiTheme="majorBidi" w:hAnsiTheme="majorBidi" w:cstheme="majorBidi"/>
          <w:u w:val="single"/>
          <w:rtl/>
        </w:rPr>
      </w:pPr>
    </w:p>
    <w:p w14:paraId="7415AB0F" w14:textId="040296D0" w:rsidR="00532DAD" w:rsidRDefault="00532DAD" w:rsidP="00532DAD">
      <w:pPr>
        <w:jc w:val="both"/>
        <w:rPr>
          <w:rtl/>
        </w:rPr>
      </w:pPr>
      <w:r>
        <w:rPr>
          <w:rFonts w:asciiTheme="majorBidi" w:hAnsiTheme="majorBidi" w:cstheme="majorBidi" w:hint="cs"/>
          <w:rtl/>
        </w:rPr>
        <w:t xml:space="preserve">גרוס, איל. 2013. </w:t>
      </w:r>
      <w:r>
        <w:t>"</w:t>
      </w:r>
      <w:r>
        <w:rPr>
          <w:rtl/>
        </w:rPr>
        <w:t>הפוליטיקה של זכויות להט"ב: בין הומו נורמטיביות והומו לאומיות לפוליטיקה קווירי</w:t>
      </w:r>
      <w:r>
        <w:rPr>
          <w:rFonts w:hint="cs"/>
          <w:rtl/>
        </w:rPr>
        <w:t xml:space="preserve">ת" </w:t>
      </w:r>
      <w:r w:rsidRPr="000A57A7">
        <w:rPr>
          <w:i/>
          <w:iCs/>
          <w:rtl/>
        </w:rPr>
        <w:t>מעשי משפט</w:t>
      </w:r>
      <w:r>
        <w:rPr>
          <w:rtl/>
        </w:rPr>
        <w:t xml:space="preserve"> ה 101-141</w:t>
      </w:r>
      <w:r>
        <w:rPr>
          <w:rFonts w:hint="cs"/>
          <w:rtl/>
        </w:rPr>
        <w:t>.</w:t>
      </w:r>
    </w:p>
    <w:p w14:paraId="7FAAD1DA" w14:textId="77777777" w:rsidR="00532DAD" w:rsidRDefault="00532DAD" w:rsidP="00532DAD">
      <w:pPr>
        <w:jc w:val="both"/>
        <w:rPr>
          <w:rtl/>
        </w:rPr>
      </w:pPr>
    </w:p>
    <w:p w14:paraId="09556041" w14:textId="33E777C8" w:rsidR="00532DAD" w:rsidRPr="00532DAD" w:rsidRDefault="00532DAD" w:rsidP="00532DAD">
      <w:pPr>
        <w:jc w:val="right"/>
        <w:rPr>
          <w:rFonts w:asciiTheme="majorBidi" w:hAnsiTheme="majorBidi" w:cstheme="majorBidi"/>
          <w:u w:val="single"/>
        </w:rPr>
      </w:pPr>
      <w:r>
        <w:t xml:space="preserve">Jones, Robert P. 2016. </w:t>
      </w:r>
      <w:r>
        <w:rPr>
          <w:i/>
          <w:iCs/>
        </w:rPr>
        <w:t>The End of White Christian America</w:t>
      </w:r>
      <w:r>
        <w:t>. New York: Simon and Schu</w:t>
      </w:r>
      <w:r w:rsidR="00BA1223">
        <w:t>ster.</w:t>
      </w:r>
    </w:p>
    <w:p w14:paraId="69665FC7" w14:textId="77777777" w:rsidR="00532DAD" w:rsidRDefault="00532DAD" w:rsidP="00AE0D2E">
      <w:pPr>
        <w:rPr>
          <w:rFonts w:asciiTheme="majorBidi" w:hAnsiTheme="majorBidi" w:cstheme="majorBidi"/>
          <w:u w:val="single"/>
          <w:rtl/>
        </w:rPr>
      </w:pPr>
    </w:p>
    <w:p w14:paraId="4D820511" w14:textId="10CF1D9B" w:rsidR="001A2698" w:rsidRDefault="00BA1223" w:rsidP="00AE0D2E">
      <w:pPr>
        <w:rPr>
          <w:rFonts w:asciiTheme="majorBidi" w:hAnsiTheme="majorBidi" w:cstheme="majorBidi"/>
          <w:u w:val="single"/>
          <w:rtl/>
        </w:rPr>
      </w:pPr>
      <w:r>
        <w:rPr>
          <w:rFonts w:asciiTheme="majorBidi" w:hAnsiTheme="majorBidi" w:cstheme="majorBidi" w:hint="cs"/>
          <w:u w:val="single"/>
          <w:rtl/>
        </w:rPr>
        <w:lastRenderedPageBreak/>
        <w:t xml:space="preserve">שיעור 9: </w:t>
      </w:r>
      <w:r w:rsidR="00B131A7">
        <w:rPr>
          <w:rFonts w:asciiTheme="majorBidi" w:hAnsiTheme="majorBidi" w:cstheme="majorBidi" w:hint="cs"/>
          <w:u w:val="single"/>
          <w:rtl/>
        </w:rPr>
        <w:t>זכות האשה על גופה?</w:t>
      </w:r>
    </w:p>
    <w:p w14:paraId="40182CFF" w14:textId="77777777" w:rsidR="002F4503" w:rsidRDefault="002F4503" w:rsidP="00AE0D2E">
      <w:pPr>
        <w:rPr>
          <w:rFonts w:asciiTheme="majorBidi" w:hAnsiTheme="majorBidi" w:cstheme="majorBidi"/>
          <w:u w:val="single"/>
          <w:rtl/>
        </w:rPr>
      </w:pPr>
    </w:p>
    <w:p w14:paraId="4D29DE96" w14:textId="560BA0E1" w:rsidR="00830C23" w:rsidRDefault="00830C23" w:rsidP="00AE0D2E">
      <w:pPr>
        <w:rPr>
          <w:rFonts w:asciiTheme="majorBidi" w:hAnsiTheme="majorBidi" w:cstheme="majorBidi"/>
          <w:rtl/>
        </w:rPr>
      </w:pPr>
      <w:r>
        <w:rPr>
          <w:rFonts w:asciiTheme="majorBidi" w:hAnsiTheme="majorBidi" w:cstheme="majorBidi" w:hint="cs"/>
          <w:rtl/>
        </w:rPr>
        <w:t xml:space="preserve">אמיר, דלילה. 2015. </w:t>
      </w:r>
      <w:r w:rsidRPr="00BA1223">
        <w:rPr>
          <w:rFonts w:asciiTheme="majorBidi" w:hAnsiTheme="majorBidi" w:cstheme="majorBidi" w:hint="cs"/>
          <w:i/>
          <w:iCs/>
          <w:rtl/>
        </w:rPr>
        <w:t>הפלות כסוגיה מושתקת בישראל</w:t>
      </w:r>
      <w:r>
        <w:rPr>
          <w:rFonts w:asciiTheme="majorBidi" w:hAnsiTheme="majorBidi" w:cstheme="majorBidi" w:hint="cs"/>
          <w:rtl/>
        </w:rPr>
        <w:t>. רסלינג</w:t>
      </w:r>
    </w:p>
    <w:p w14:paraId="0C0D9BF1" w14:textId="77777777" w:rsidR="00BA1223" w:rsidRDefault="00BA1223" w:rsidP="00AE0D2E">
      <w:pPr>
        <w:rPr>
          <w:rFonts w:asciiTheme="majorBidi" w:hAnsiTheme="majorBidi" w:cstheme="majorBidi"/>
          <w:rtl/>
        </w:rPr>
      </w:pPr>
    </w:p>
    <w:p w14:paraId="644EE2CC" w14:textId="5964E222" w:rsidR="00BA1223" w:rsidRPr="00BA1223" w:rsidRDefault="00BA1223" w:rsidP="00BA1223">
      <w:pPr>
        <w:bidi w:val="0"/>
        <w:rPr>
          <w:rFonts w:asciiTheme="majorBidi" w:hAnsiTheme="majorBidi" w:cstheme="majorBidi"/>
        </w:rPr>
      </w:pPr>
      <w:r w:rsidRPr="00BA1223">
        <w:rPr>
          <w:rFonts w:asciiTheme="majorBidi" w:hAnsiTheme="majorBidi" w:cstheme="majorBidi"/>
          <w:color w:val="222222"/>
          <w:shd w:val="clear" w:color="auto" w:fill="FFFFFF"/>
        </w:rPr>
        <w:t>Yishai, Y., 1993. Public ideas and public policy: abortion politics in four democracies. </w:t>
      </w:r>
      <w:r w:rsidRPr="00BA1223">
        <w:rPr>
          <w:rFonts w:asciiTheme="majorBidi" w:hAnsiTheme="majorBidi" w:cstheme="majorBidi"/>
          <w:i/>
          <w:iCs/>
          <w:color w:val="222222"/>
          <w:shd w:val="clear" w:color="auto" w:fill="FFFFFF"/>
        </w:rPr>
        <w:t>Comparative Politics</w:t>
      </w:r>
      <w:r w:rsidRPr="00BA1223">
        <w:rPr>
          <w:rFonts w:asciiTheme="majorBidi" w:hAnsiTheme="majorBidi" w:cstheme="majorBidi"/>
          <w:color w:val="222222"/>
          <w:shd w:val="clear" w:color="auto" w:fill="FFFFFF"/>
        </w:rPr>
        <w:t>, pp.207-228.</w:t>
      </w:r>
    </w:p>
    <w:p w14:paraId="6C832204" w14:textId="77777777" w:rsidR="00830C23" w:rsidRPr="00830C23" w:rsidRDefault="00830C23" w:rsidP="00AE0D2E">
      <w:pPr>
        <w:rPr>
          <w:rFonts w:asciiTheme="majorBidi" w:hAnsiTheme="majorBidi" w:cstheme="majorBidi"/>
          <w:rtl/>
        </w:rPr>
      </w:pPr>
    </w:p>
    <w:p w14:paraId="687EE1BF" w14:textId="7DAD867B" w:rsidR="00502728" w:rsidRDefault="00B131A7" w:rsidP="00DE308E">
      <w:pPr>
        <w:rPr>
          <w:rFonts w:asciiTheme="majorBidi" w:hAnsiTheme="majorBidi" w:cstheme="majorBidi"/>
          <w:u w:val="single"/>
          <w:rtl/>
        </w:rPr>
      </w:pPr>
      <w:r>
        <w:rPr>
          <w:rFonts w:asciiTheme="majorBidi" w:hAnsiTheme="majorBidi" w:cstheme="majorBidi" w:hint="cs"/>
          <w:u w:val="single"/>
          <w:rtl/>
        </w:rPr>
        <w:t xml:space="preserve">שבוע </w:t>
      </w:r>
      <w:r w:rsidR="00502728">
        <w:rPr>
          <w:rFonts w:asciiTheme="majorBidi" w:hAnsiTheme="majorBidi" w:cstheme="majorBidi" w:hint="cs"/>
          <w:u w:val="single"/>
          <w:rtl/>
        </w:rPr>
        <w:t>10</w:t>
      </w:r>
      <w:r>
        <w:rPr>
          <w:rFonts w:asciiTheme="majorBidi" w:hAnsiTheme="majorBidi" w:cstheme="majorBidi" w:hint="cs"/>
          <w:u w:val="single"/>
          <w:rtl/>
        </w:rPr>
        <w:t xml:space="preserve"> </w:t>
      </w:r>
      <w:r w:rsidR="00532DAD">
        <w:rPr>
          <w:rFonts w:asciiTheme="majorBidi" w:hAnsiTheme="majorBidi" w:cstheme="majorBidi"/>
          <w:u w:val="single"/>
          <w:rtl/>
        </w:rPr>
        <w:t>–</w:t>
      </w:r>
      <w:r w:rsidR="00DE308E">
        <w:rPr>
          <w:rFonts w:asciiTheme="majorBidi" w:hAnsiTheme="majorBidi" w:cstheme="majorBidi"/>
          <w:u w:val="single"/>
        </w:rPr>
        <w:t xml:space="preserve"> </w:t>
      </w:r>
      <w:r w:rsidR="00502728" w:rsidRPr="00502728">
        <w:rPr>
          <w:rFonts w:asciiTheme="majorBidi" w:hAnsiTheme="majorBidi" w:cstheme="majorBidi" w:hint="cs"/>
          <w:u w:val="single"/>
          <w:rtl/>
        </w:rPr>
        <w:t>המרחב הציבורי</w:t>
      </w:r>
      <w:r w:rsidR="00502728">
        <w:rPr>
          <w:rFonts w:asciiTheme="majorBidi" w:hAnsiTheme="majorBidi" w:cstheme="majorBidi" w:hint="cs"/>
          <w:u w:val="single"/>
          <w:rtl/>
        </w:rPr>
        <w:t>, "צניעות" ושאלת ההפרדה</w:t>
      </w:r>
    </w:p>
    <w:p w14:paraId="13A2E4B2" w14:textId="77777777" w:rsidR="00502728" w:rsidRDefault="00502728" w:rsidP="00AE0D2E">
      <w:pPr>
        <w:rPr>
          <w:rFonts w:asciiTheme="majorBidi" w:hAnsiTheme="majorBidi" w:cstheme="majorBidi"/>
          <w:u w:val="single"/>
          <w:rtl/>
        </w:rPr>
      </w:pPr>
    </w:p>
    <w:p w14:paraId="1B8B2739" w14:textId="693BA123" w:rsidR="00502728" w:rsidRPr="000A57A7" w:rsidRDefault="000A57A7" w:rsidP="00AE0D2E">
      <w:pPr>
        <w:rPr>
          <w:rFonts w:asciiTheme="majorBidi" w:hAnsiTheme="majorBidi" w:cstheme="majorBidi"/>
          <w:i/>
          <w:iCs/>
          <w:rtl/>
        </w:rPr>
      </w:pPr>
      <w:r>
        <w:rPr>
          <w:rFonts w:asciiTheme="majorBidi" w:hAnsiTheme="majorBidi" w:cstheme="majorBidi" w:hint="cs"/>
          <w:rtl/>
        </w:rPr>
        <w:t>תירוש, יופי. 2022. "</w:t>
      </w:r>
      <w:r w:rsidRPr="000A57A7">
        <w:rPr>
          <w:rFonts w:asciiTheme="majorBidi" w:hAnsiTheme="majorBidi" w:cstheme="majorBidi"/>
          <w:rtl/>
        </w:rPr>
        <w:t>הפרדה בין המינים במשפט הישראלי סיכום מוער של הדין הפוזיטיבי ומבט לעתיד</w:t>
      </w:r>
      <w:r>
        <w:rPr>
          <w:rFonts w:asciiTheme="majorBidi" w:hAnsiTheme="majorBidi" w:cstheme="majorBidi" w:hint="cs"/>
          <w:rtl/>
        </w:rPr>
        <w:t xml:space="preserve">." </w:t>
      </w:r>
      <w:r>
        <w:rPr>
          <w:rFonts w:asciiTheme="majorBidi" w:hAnsiTheme="majorBidi" w:cstheme="majorBidi" w:hint="cs"/>
          <w:i/>
          <w:iCs/>
          <w:rtl/>
        </w:rPr>
        <w:t>עיוני משפט</w:t>
      </w:r>
      <w:r w:rsidRPr="000A57A7">
        <w:rPr>
          <w:rFonts w:asciiTheme="majorBidi" w:hAnsiTheme="majorBidi" w:cstheme="majorBidi" w:hint="cs"/>
          <w:rtl/>
        </w:rPr>
        <w:t xml:space="preserve"> מ"ה</w:t>
      </w:r>
      <w:r>
        <w:rPr>
          <w:rFonts w:asciiTheme="majorBidi" w:hAnsiTheme="majorBidi" w:cstheme="majorBidi" w:hint="cs"/>
          <w:rtl/>
        </w:rPr>
        <w:t xml:space="preserve"> 697-778. (קטעים נבחרים).</w:t>
      </w:r>
    </w:p>
    <w:p w14:paraId="7D28ACB9" w14:textId="77777777" w:rsidR="002F4503" w:rsidRPr="000A57A7" w:rsidRDefault="002F4503" w:rsidP="00AE0D2E">
      <w:pPr>
        <w:rPr>
          <w:rFonts w:asciiTheme="majorBidi" w:hAnsiTheme="majorBidi" w:cstheme="majorBidi"/>
          <w:u w:val="single"/>
          <w:rtl/>
        </w:rPr>
      </w:pPr>
    </w:p>
    <w:p w14:paraId="20ED557D" w14:textId="62A147A4" w:rsidR="002F4503" w:rsidRDefault="00B131A7" w:rsidP="00AE0D2E">
      <w:pPr>
        <w:rPr>
          <w:rFonts w:asciiTheme="majorBidi" w:hAnsiTheme="majorBidi" w:cstheme="majorBidi"/>
          <w:u w:val="single"/>
          <w:rtl/>
        </w:rPr>
      </w:pPr>
      <w:r>
        <w:rPr>
          <w:rFonts w:asciiTheme="majorBidi" w:hAnsiTheme="majorBidi" w:cstheme="majorBidi" w:hint="cs"/>
          <w:u w:val="single"/>
          <w:rtl/>
        </w:rPr>
        <w:t>שבוע 1</w:t>
      </w:r>
      <w:r w:rsidR="00DE308E">
        <w:rPr>
          <w:rFonts w:asciiTheme="majorBidi" w:hAnsiTheme="majorBidi" w:cstheme="majorBidi"/>
          <w:u w:val="single"/>
        </w:rPr>
        <w:t>1</w:t>
      </w:r>
      <w:r>
        <w:rPr>
          <w:rFonts w:asciiTheme="majorBidi" w:hAnsiTheme="majorBidi" w:cstheme="majorBidi" w:hint="cs"/>
          <w:u w:val="single"/>
          <w:rtl/>
        </w:rPr>
        <w:t xml:space="preserve"> - </w:t>
      </w:r>
      <w:r w:rsidR="002F4503">
        <w:rPr>
          <w:rFonts w:asciiTheme="majorBidi" w:hAnsiTheme="majorBidi" w:cstheme="majorBidi" w:hint="cs"/>
          <w:u w:val="single"/>
          <w:rtl/>
        </w:rPr>
        <w:t>פופוליזם, דת וערכי המשפחה</w:t>
      </w:r>
    </w:p>
    <w:p w14:paraId="6899703A" w14:textId="77777777" w:rsidR="000A57A7" w:rsidRPr="000A57A7" w:rsidRDefault="000A57A7" w:rsidP="00AE0D2E">
      <w:pPr>
        <w:rPr>
          <w:rFonts w:asciiTheme="majorBidi" w:hAnsiTheme="majorBidi" w:cstheme="majorBidi"/>
          <w:u w:val="single"/>
          <w:rtl/>
        </w:rPr>
      </w:pPr>
    </w:p>
    <w:p w14:paraId="1D17E946" w14:textId="31FE654A" w:rsidR="000A57A7" w:rsidRPr="000A57A7" w:rsidRDefault="000A57A7" w:rsidP="000A57A7">
      <w:pPr>
        <w:bidi w:val="0"/>
        <w:rPr>
          <w:rFonts w:asciiTheme="majorBidi" w:hAnsiTheme="majorBidi" w:cstheme="majorBidi"/>
        </w:rPr>
      </w:pPr>
      <w:r w:rsidRPr="000A57A7">
        <w:rPr>
          <w:rFonts w:asciiTheme="majorBidi" w:hAnsiTheme="majorBidi" w:cstheme="majorBidi"/>
          <w:color w:val="222222"/>
          <w:shd w:val="clear" w:color="auto" w:fill="FFFFFF"/>
        </w:rPr>
        <w:t>Porat, G.B. and Filc, D., 2022. “Remember to be Jewish: religious populism in Israel.”  </w:t>
      </w:r>
      <w:r w:rsidRPr="000A57A7">
        <w:rPr>
          <w:rFonts w:asciiTheme="majorBidi" w:hAnsiTheme="majorBidi" w:cstheme="majorBidi"/>
          <w:i/>
          <w:iCs/>
          <w:color w:val="222222"/>
          <w:shd w:val="clear" w:color="auto" w:fill="FFFFFF"/>
        </w:rPr>
        <w:t>Politics and Religion</w:t>
      </w:r>
      <w:r w:rsidRPr="000A57A7">
        <w:rPr>
          <w:rFonts w:asciiTheme="majorBidi" w:hAnsiTheme="majorBidi" w:cstheme="majorBidi"/>
          <w:color w:val="222222"/>
          <w:shd w:val="clear" w:color="auto" w:fill="FFFFFF"/>
        </w:rPr>
        <w:t>, </w:t>
      </w:r>
      <w:r w:rsidRPr="000A57A7">
        <w:rPr>
          <w:rFonts w:asciiTheme="majorBidi" w:hAnsiTheme="majorBidi" w:cstheme="majorBidi"/>
          <w:i/>
          <w:iCs/>
          <w:color w:val="222222"/>
          <w:shd w:val="clear" w:color="auto" w:fill="FFFFFF"/>
        </w:rPr>
        <w:t>15</w:t>
      </w:r>
      <w:r w:rsidRPr="000A57A7">
        <w:rPr>
          <w:rFonts w:asciiTheme="majorBidi" w:hAnsiTheme="majorBidi" w:cstheme="majorBidi"/>
          <w:color w:val="222222"/>
          <w:shd w:val="clear" w:color="auto" w:fill="FFFFFF"/>
        </w:rPr>
        <w:t>(1), pp.61-84.</w:t>
      </w:r>
    </w:p>
    <w:p w14:paraId="1BE78489" w14:textId="77777777" w:rsidR="002F4503" w:rsidRPr="000A57A7" w:rsidRDefault="002F4503" w:rsidP="00AE0D2E">
      <w:pPr>
        <w:rPr>
          <w:rFonts w:asciiTheme="majorBidi" w:hAnsiTheme="majorBidi" w:cstheme="majorBidi"/>
          <w:u w:val="single"/>
          <w:rtl/>
        </w:rPr>
      </w:pPr>
    </w:p>
    <w:p w14:paraId="10092F9A" w14:textId="77777777" w:rsidR="00942172" w:rsidRPr="000A57A7" w:rsidRDefault="00942172" w:rsidP="00E5129F">
      <w:pPr>
        <w:rPr>
          <w:rFonts w:asciiTheme="majorBidi" w:hAnsiTheme="majorBidi" w:cstheme="majorBidi"/>
          <w:rtl/>
        </w:rPr>
      </w:pPr>
    </w:p>
    <w:p w14:paraId="219C0D59" w14:textId="603F102E" w:rsidR="00526C69" w:rsidRPr="006210C3" w:rsidRDefault="00526C69" w:rsidP="00130F21">
      <w:pPr>
        <w:spacing w:line="360" w:lineRule="auto"/>
        <w:rPr>
          <w:rFonts w:asciiTheme="majorBidi" w:hAnsiTheme="majorBidi" w:cstheme="majorBidi"/>
          <w:rtl/>
        </w:rPr>
      </w:pPr>
    </w:p>
    <w:p w14:paraId="7AB8DFF4" w14:textId="77777777" w:rsidR="00317399" w:rsidRPr="006210C3" w:rsidRDefault="00317399" w:rsidP="00F7303E">
      <w:pPr>
        <w:bidi w:val="0"/>
        <w:rPr>
          <w:rFonts w:asciiTheme="majorBidi" w:hAnsiTheme="majorBidi" w:cstheme="majorBidi"/>
          <w:u w:val="single"/>
        </w:rPr>
      </w:pPr>
    </w:p>
    <w:sectPr w:rsidR="00317399" w:rsidRPr="006210C3" w:rsidSect="009E02EE">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71ABC" w14:textId="77777777" w:rsidR="00694A5F" w:rsidRDefault="00694A5F" w:rsidP="00D45727">
      <w:r>
        <w:separator/>
      </w:r>
    </w:p>
  </w:endnote>
  <w:endnote w:type="continuationSeparator" w:id="0">
    <w:p w14:paraId="3E910DE4" w14:textId="77777777" w:rsidR="00694A5F" w:rsidRDefault="00694A5F" w:rsidP="00D45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David Transparent">
    <w:altName w:val="Arial"/>
    <w:panose1 w:val="020E05020604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DB892" w14:textId="77777777" w:rsidR="00694A5F" w:rsidRDefault="00694A5F" w:rsidP="00D45727">
      <w:r>
        <w:separator/>
      </w:r>
    </w:p>
  </w:footnote>
  <w:footnote w:type="continuationSeparator" w:id="0">
    <w:p w14:paraId="5DB443A2" w14:textId="77777777" w:rsidR="00694A5F" w:rsidRDefault="00694A5F" w:rsidP="00D457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603A9"/>
    <w:multiLevelType w:val="hybridMultilevel"/>
    <w:tmpl w:val="72662226"/>
    <w:lvl w:ilvl="0" w:tplc="70A84B42">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06079B"/>
    <w:multiLevelType w:val="hybridMultilevel"/>
    <w:tmpl w:val="6878580C"/>
    <w:lvl w:ilvl="0" w:tplc="4C76D030">
      <w:start w:val="1"/>
      <w:numFmt w:val="decimal"/>
      <w:lvlText w:val="%1."/>
      <w:lvlJc w:val="left"/>
      <w:pPr>
        <w:tabs>
          <w:tab w:val="num" w:pos="720"/>
        </w:tabs>
        <w:ind w:left="720" w:right="720" w:hanging="36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2" w15:restartNumberingAfterBreak="0">
    <w:nsid w:val="3C984453"/>
    <w:multiLevelType w:val="hybridMultilevel"/>
    <w:tmpl w:val="9EF6F3E4"/>
    <w:lvl w:ilvl="0" w:tplc="6F38597E">
      <w:start w:val="1"/>
      <w:numFmt w:val="bullet"/>
      <w:lvlText w:val="-"/>
      <w:lvlJc w:val="left"/>
      <w:pPr>
        <w:tabs>
          <w:tab w:val="num" w:pos="720"/>
        </w:tabs>
        <w:ind w:left="720" w:right="720" w:hanging="360"/>
      </w:pPr>
      <w:rPr>
        <w:rFonts w:ascii="Times New Roman" w:eastAsia="Times New Roman" w:hAnsi="Times New Roman" w:cs="Miriam"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num w:numId="1" w16cid:durableId="1765373993">
    <w:abstractNumId w:val="2"/>
  </w:num>
  <w:num w:numId="2" w16cid:durableId="1373847411">
    <w:abstractNumId w:val="1"/>
  </w:num>
  <w:num w:numId="3" w16cid:durableId="17875061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7CF"/>
    <w:rsid w:val="00015432"/>
    <w:rsid w:val="00021A3E"/>
    <w:rsid w:val="00022580"/>
    <w:rsid w:val="000373BB"/>
    <w:rsid w:val="00042D6B"/>
    <w:rsid w:val="00083B37"/>
    <w:rsid w:val="000935E0"/>
    <w:rsid w:val="000A2736"/>
    <w:rsid w:val="000A57A7"/>
    <w:rsid w:val="000B793B"/>
    <w:rsid w:val="000C7E7A"/>
    <w:rsid w:val="000F2B43"/>
    <w:rsid w:val="00130F21"/>
    <w:rsid w:val="001379BF"/>
    <w:rsid w:val="00171DC5"/>
    <w:rsid w:val="001761A2"/>
    <w:rsid w:val="00181EAE"/>
    <w:rsid w:val="001A2698"/>
    <w:rsid w:val="001A794C"/>
    <w:rsid w:val="001F0867"/>
    <w:rsid w:val="001F751F"/>
    <w:rsid w:val="002538A4"/>
    <w:rsid w:val="00255888"/>
    <w:rsid w:val="00266245"/>
    <w:rsid w:val="002756BA"/>
    <w:rsid w:val="00287F78"/>
    <w:rsid w:val="002B18B3"/>
    <w:rsid w:val="002C11C5"/>
    <w:rsid w:val="002D0AFC"/>
    <w:rsid w:val="002D281E"/>
    <w:rsid w:val="002E039C"/>
    <w:rsid w:val="002F4503"/>
    <w:rsid w:val="00300F3C"/>
    <w:rsid w:val="00317399"/>
    <w:rsid w:val="003427DA"/>
    <w:rsid w:val="0037335B"/>
    <w:rsid w:val="00383760"/>
    <w:rsid w:val="00385BA0"/>
    <w:rsid w:val="0039250E"/>
    <w:rsid w:val="003C3954"/>
    <w:rsid w:val="003D0E42"/>
    <w:rsid w:val="003F1BF9"/>
    <w:rsid w:val="00432542"/>
    <w:rsid w:val="00436A45"/>
    <w:rsid w:val="00447C61"/>
    <w:rsid w:val="00453B51"/>
    <w:rsid w:val="00454C09"/>
    <w:rsid w:val="00465A56"/>
    <w:rsid w:val="004808D4"/>
    <w:rsid w:val="00495D77"/>
    <w:rsid w:val="004A21AD"/>
    <w:rsid w:val="004D6EC4"/>
    <w:rsid w:val="004F10DB"/>
    <w:rsid w:val="00502728"/>
    <w:rsid w:val="00503C44"/>
    <w:rsid w:val="00514789"/>
    <w:rsid w:val="005231F6"/>
    <w:rsid w:val="005248A5"/>
    <w:rsid w:val="00526C69"/>
    <w:rsid w:val="0053065D"/>
    <w:rsid w:val="00532DAD"/>
    <w:rsid w:val="00540C33"/>
    <w:rsid w:val="00547583"/>
    <w:rsid w:val="00565B80"/>
    <w:rsid w:val="005D6406"/>
    <w:rsid w:val="00602A2E"/>
    <w:rsid w:val="006210C3"/>
    <w:rsid w:val="006241B8"/>
    <w:rsid w:val="00624C43"/>
    <w:rsid w:val="0062683E"/>
    <w:rsid w:val="0063739F"/>
    <w:rsid w:val="00643946"/>
    <w:rsid w:val="00646B74"/>
    <w:rsid w:val="006616F3"/>
    <w:rsid w:val="0068790D"/>
    <w:rsid w:val="00691490"/>
    <w:rsid w:val="00694A5F"/>
    <w:rsid w:val="007017A2"/>
    <w:rsid w:val="00727D25"/>
    <w:rsid w:val="007443D1"/>
    <w:rsid w:val="00760E4E"/>
    <w:rsid w:val="00785E77"/>
    <w:rsid w:val="007D5738"/>
    <w:rsid w:val="007D7157"/>
    <w:rsid w:val="007E3D02"/>
    <w:rsid w:val="007E4848"/>
    <w:rsid w:val="008051E5"/>
    <w:rsid w:val="00807EB8"/>
    <w:rsid w:val="0082759D"/>
    <w:rsid w:val="00830C23"/>
    <w:rsid w:val="00837EF7"/>
    <w:rsid w:val="00842EFC"/>
    <w:rsid w:val="00846DBB"/>
    <w:rsid w:val="00852910"/>
    <w:rsid w:val="00887A65"/>
    <w:rsid w:val="008A75F1"/>
    <w:rsid w:val="008B50FD"/>
    <w:rsid w:val="008E7CBA"/>
    <w:rsid w:val="008F0DFD"/>
    <w:rsid w:val="009403C5"/>
    <w:rsid w:val="00940F11"/>
    <w:rsid w:val="00942172"/>
    <w:rsid w:val="00944907"/>
    <w:rsid w:val="00986A30"/>
    <w:rsid w:val="00990FF7"/>
    <w:rsid w:val="009C1E33"/>
    <w:rsid w:val="009E02EE"/>
    <w:rsid w:val="009E28FF"/>
    <w:rsid w:val="00A167D2"/>
    <w:rsid w:val="00A3487E"/>
    <w:rsid w:val="00A746CF"/>
    <w:rsid w:val="00AB07C4"/>
    <w:rsid w:val="00AB2FA6"/>
    <w:rsid w:val="00AD2A6C"/>
    <w:rsid w:val="00AE0D2E"/>
    <w:rsid w:val="00AE329F"/>
    <w:rsid w:val="00AF2F13"/>
    <w:rsid w:val="00B131A7"/>
    <w:rsid w:val="00B7354C"/>
    <w:rsid w:val="00B745F9"/>
    <w:rsid w:val="00B877CF"/>
    <w:rsid w:val="00BA1223"/>
    <w:rsid w:val="00BA5C4A"/>
    <w:rsid w:val="00BB0F0A"/>
    <w:rsid w:val="00BB739B"/>
    <w:rsid w:val="00BC0AD7"/>
    <w:rsid w:val="00BD1499"/>
    <w:rsid w:val="00BD42D5"/>
    <w:rsid w:val="00BE670E"/>
    <w:rsid w:val="00C2070D"/>
    <w:rsid w:val="00C24945"/>
    <w:rsid w:val="00C43E5E"/>
    <w:rsid w:val="00C46B6A"/>
    <w:rsid w:val="00C53463"/>
    <w:rsid w:val="00C6438F"/>
    <w:rsid w:val="00C7635A"/>
    <w:rsid w:val="00C814A8"/>
    <w:rsid w:val="00C845A5"/>
    <w:rsid w:val="00CA7119"/>
    <w:rsid w:val="00CD1915"/>
    <w:rsid w:val="00CE2273"/>
    <w:rsid w:val="00CF2494"/>
    <w:rsid w:val="00D075C2"/>
    <w:rsid w:val="00D10379"/>
    <w:rsid w:val="00D21209"/>
    <w:rsid w:val="00D25A8F"/>
    <w:rsid w:val="00D33BD0"/>
    <w:rsid w:val="00D45727"/>
    <w:rsid w:val="00D53C32"/>
    <w:rsid w:val="00D5696D"/>
    <w:rsid w:val="00D6279F"/>
    <w:rsid w:val="00D73BC2"/>
    <w:rsid w:val="00DD2E59"/>
    <w:rsid w:val="00DD62AE"/>
    <w:rsid w:val="00DE308E"/>
    <w:rsid w:val="00DF3718"/>
    <w:rsid w:val="00DF533E"/>
    <w:rsid w:val="00E04141"/>
    <w:rsid w:val="00E0476D"/>
    <w:rsid w:val="00E5129F"/>
    <w:rsid w:val="00E60F81"/>
    <w:rsid w:val="00E74AC8"/>
    <w:rsid w:val="00EA6660"/>
    <w:rsid w:val="00EB1B32"/>
    <w:rsid w:val="00EB60AB"/>
    <w:rsid w:val="00ED34D4"/>
    <w:rsid w:val="00ED6B9B"/>
    <w:rsid w:val="00F16986"/>
    <w:rsid w:val="00F20677"/>
    <w:rsid w:val="00F35B3D"/>
    <w:rsid w:val="00F3781A"/>
    <w:rsid w:val="00F56912"/>
    <w:rsid w:val="00F609D7"/>
    <w:rsid w:val="00F7303E"/>
    <w:rsid w:val="00F73CC5"/>
    <w:rsid w:val="00F806C0"/>
    <w:rsid w:val="00F80CEA"/>
    <w:rsid w:val="00F92D4E"/>
    <w:rsid w:val="00F97EB9"/>
    <w:rsid w:val="00FB5795"/>
    <w:rsid w:val="00FC051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87A592"/>
  <w15:docId w15:val="{E16275E3-05F2-42BA-B332-B0C5BCE4A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02EE"/>
    <w:pPr>
      <w:bidi/>
    </w:pPr>
    <w:rPr>
      <w:rFonts w:cs="Narkisim"/>
      <w:sz w:val="24"/>
      <w:szCs w:val="24"/>
      <w:lang w:eastAsia="he-IL"/>
    </w:rPr>
  </w:style>
  <w:style w:type="paragraph" w:styleId="Heading1">
    <w:name w:val="heading 1"/>
    <w:basedOn w:val="Normal"/>
    <w:next w:val="Normal"/>
    <w:qFormat/>
    <w:rsid w:val="009E02EE"/>
    <w:pPr>
      <w:keepNext/>
      <w:jc w:val="center"/>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E02EE"/>
    <w:pPr>
      <w:jc w:val="center"/>
    </w:pPr>
    <w:rPr>
      <w:b/>
      <w:bCs/>
      <w:u w:val="single"/>
    </w:rPr>
  </w:style>
  <w:style w:type="paragraph" w:styleId="BalloonText">
    <w:name w:val="Balloon Text"/>
    <w:basedOn w:val="Normal"/>
    <w:semiHidden/>
    <w:rsid w:val="009E02EE"/>
    <w:rPr>
      <w:rFonts w:ascii="Tahoma" w:hAnsi="Tahoma" w:cs="Tahoma"/>
      <w:sz w:val="16"/>
      <w:szCs w:val="16"/>
    </w:rPr>
  </w:style>
  <w:style w:type="character" w:styleId="Hyperlink">
    <w:name w:val="Hyperlink"/>
    <w:basedOn w:val="DefaultParagraphFont"/>
    <w:rsid w:val="00AE329F"/>
    <w:rPr>
      <w:color w:val="0000FF"/>
      <w:u w:val="single"/>
    </w:rPr>
  </w:style>
  <w:style w:type="paragraph" w:styleId="Subtitle">
    <w:name w:val="Subtitle"/>
    <w:basedOn w:val="Normal"/>
    <w:qFormat/>
    <w:rsid w:val="00181EAE"/>
    <w:pPr>
      <w:jc w:val="center"/>
    </w:pPr>
    <w:rPr>
      <w:rFonts w:cs="David Transparent"/>
      <w:b/>
      <w:bCs/>
    </w:rPr>
  </w:style>
  <w:style w:type="paragraph" w:customStyle="1" w:styleId="NormalPar">
    <w:name w:val="NormalPar"/>
    <w:rsid w:val="00643946"/>
    <w:pPr>
      <w:bidi/>
    </w:pPr>
    <w:rPr>
      <w:rFonts w:cs="David"/>
      <w:snapToGrid w:val="0"/>
      <w:sz w:val="24"/>
      <w:szCs w:val="24"/>
      <w:lang w:eastAsia="he-IL"/>
    </w:rPr>
  </w:style>
  <w:style w:type="paragraph" w:customStyle="1" w:styleId="Normal0">
    <w:name w:val="Normal*"/>
    <w:rsid w:val="008A75F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right="540"/>
    </w:pPr>
    <w:rPr>
      <w:rFonts w:ascii="Times" w:hAnsi="Times" w:cs="Times"/>
      <w:sz w:val="28"/>
      <w:szCs w:val="28"/>
      <w:lang w:bidi="ar-SA"/>
    </w:rPr>
  </w:style>
  <w:style w:type="paragraph" w:styleId="EndnoteText">
    <w:name w:val="endnote text"/>
    <w:basedOn w:val="Normal"/>
    <w:link w:val="EndnoteTextChar"/>
    <w:rsid w:val="00266245"/>
    <w:rPr>
      <w:rFonts w:cs="Times New Roman"/>
      <w:sz w:val="20"/>
      <w:szCs w:val="20"/>
      <w:lang w:eastAsia="en-US"/>
    </w:rPr>
  </w:style>
  <w:style w:type="character" w:customStyle="1" w:styleId="EndnoteTextChar">
    <w:name w:val="Endnote Text Char"/>
    <w:basedOn w:val="DefaultParagraphFont"/>
    <w:link w:val="EndnoteText"/>
    <w:rsid w:val="00266245"/>
  </w:style>
  <w:style w:type="paragraph" w:customStyle="1" w:styleId="EndnoteText1">
    <w:name w:val="Endnote Text1"/>
    <w:basedOn w:val="Normal"/>
    <w:rsid w:val="00526C69"/>
    <w:pPr>
      <w:suppressAutoHyphens/>
      <w:bidi w:val="0"/>
      <w:spacing w:line="240" w:lineRule="atLeast"/>
    </w:pPr>
    <w:rPr>
      <w:rFonts w:ascii="Arial" w:hAnsi="Arial" w:cs="Arial"/>
      <w:kern w:val="1"/>
    </w:rPr>
  </w:style>
  <w:style w:type="character" w:customStyle="1" w:styleId="EndnoteTextChar1">
    <w:name w:val="Endnote Text Char1"/>
    <w:basedOn w:val="DefaultParagraphFont"/>
    <w:rsid w:val="002756BA"/>
    <w:rPr>
      <w:lang w:eastAsia="he-IL"/>
    </w:rPr>
  </w:style>
  <w:style w:type="character" w:customStyle="1" w:styleId="bold1">
    <w:name w:val="bold1"/>
    <w:basedOn w:val="DefaultParagraphFont"/>
    <w:rsid w:val="007E3D02"/>
    <w:rPr>
      <w:b/>
      <w:bCs/>
      <w:color w:val="333333"/>
    </w:rPr>
  </w:style>
  <w:style w:type="paragraph" w:styleId="FootnoteText">
    <w:name w:val="footnote text"/>
    <w:aliases w:val="טקסט הערות שוליים תו Char Char Char,טקסט הערות שוליים תו Char Char,טקסט הערות שוליים תו תו Char Char,טקסט הערות שוליים תו תו Char Char Char Char Char,טקסט הערות שוליים תו תו Char,טקסט הערות שוליים תו תו תו"/>
    <w:basedOn w:val="Normal"/>
    <w:link w:val="FootnoteTextChar"/>
    <w:rsid w:val="00D45727"/>
    <w:pPr>
      <w:spacing w:line="295" w:lineRule="exact"/>
      <w:jc w:val="both"/>
    </w:pPr>
    <w:rPr>
      <w:rFonts w:cs="FrankRuehl"/>
      <w:color w:val="000000"/>
      <w:sz w:val="20"/>
      <w:szCs w:val="20"/>
    </w:rPr>
  </w:style>
  <w:style w:type="character" w:customStyle="1" w:styleId="FootnoteTextChar">
    <w:name w:val="Footnote Text Char"/>
    <w:aliases w:val="טקסט הערות שוליים תו Char Char Char Char,טקסט הערות שוליים תו Char Char Char1,טקסט הערות שוליים תו תו Char Char Char,טקסט הערות שוליים תו תו Char Char Char Char Char Char,טקסט הערות שוליים תו תו Char Char1"/>
    <w:basedOn w:val="DefaultParagraphFont"/>
    <w:link w:val="FootnoteText"/>
    <w:rsid w:val="00D45727"/>
    <w:rPr>
      <w:rFonts w:cs="FrankRuehl"/>
      <w:color w:val="000000"/>
      <w:lang w:eastAsia="he-IL"/>
    </w:rPr>
  </w:style>
  <w:style w:type="character" w:styleId="FootnoteReference">
    <w:name w:val="footnote reference"/>
    <w:basedOn w:val="DefaultParagraphFont"/>
    <w:rsid w:val="00D45727"/>
    <w:rPr>
      <w:rFonts w:cs="Times New Roman"/>
      <w:vertAlign w:val="superscript"/>
    </w:rPr>
  </w:style>
  <w:style w:type="character" w:customStyle="1" w:styleId="authorss">
    <w:name w:val="§authors_s"/>
    <w:basedOn w:val="DefaultParagraphFont"/>
    <w:rsid w:val="00C24945"/>
    <w:rPr>
      <w:rFonts w:ascii="Times New Roman" w:hAnsi="Times New Roman"/>
      <w:b/>
      <w:lang w:val="en-US"/>
    </w:rPr>
  </w:style>
  <w:style w:type="character" w:customStyle="1" w:styleId="authorsf">
    <w:name w:val="§authors_f"/>
    <w:basedOn w:val="DefaultParagraphFont"/>
    <w:rsid w:val="00C24945"/>
    <w:rPr>
      <w:rFonts w:ascii="Times New Roman" w:hAnsi="Times New Roman"/>
      <w:b/>
      <w:lang w:val="en-US"/>
    </w:rPr>
  </w:style>
  <w:style w:type="character" w:customStyle="1" w:styleId="date">
    <w:name w:val="§date"/>
    <w:rsid w:val="00C24945"/>
    <w:rPr>
      <w:rFonts w:ascii="Times New Roman" w:hAnsi="Times New Roman"/>
      <w:lang w:val="en-US"/>
    </w:rPr>
  </w:style>
  <w:style w:type="character" w:customStyle="1" w:styleId="booktitle">
    <w:name w:val="§book title"/>
    <w:basedOn w:val="journal-title"/>
    <w:rsid w:val="00C24945"/>
    <w:rPr>
      <w:rFonts w:ascii="Times New Roman" w:hAnsi="Times New Roman"/>
      <w:i/>
      <w:lang w:val="en-US"/>
    </w:rPr>
  </w:style>
  <w:style w:type="character" w:customStyle="1" w:styleId="journal-title">
    <w:name w:val="§journal-title"/>
    <w:rsid w:val="00C24945"/>
    <w:rPr>
      <w:rFonts w:ascii="Times New Roman" w:hAnsi="Times New Roman"/>
      <w:i/>
      <w:lang w:val="en-US"/>
    </w:rPr>
  </w:style>
  <w:style w:type="character" w:customStyle="1" w:styleId="publisherloc">
    <w:name w:val="§publisher_loc"/>
    <w:basedOn w:val="publisher"/>
    <w:rsid w:val="00C24945"/>
    <w:rPr>
      <w:rFonts w:ascii="Times New Roman" w:hAnsi="Times New Roman"/>
      <w:lang w:val="en-US"/>
    </w:rPr>
  </w:style>
  <w:style w:type="character" w:customStyle="1" w:styleId="publisher">
    <w:name w:val="§publisher"/>
    <w:rsid w:val="00C24945"/>
    <w:rPr>
      <w:rFonts w:ascii="Times New Roman" w:hAnsi="Times New Roman"/>
      <w:lang w:val="en-US"/>
    </w:rPr>
  </w:style>
  <w:style w:type="paragraph" w:customStyle="1" w:styleId="bib">
    <w:name w:val="§bib"/>
    <w:basedOn w:val="Normal"/>
    <w:rsid w:val="00C24945"/>
    <w:pPr>
      <w:bidi w:val="0"/>
      <w:spacing w:before="120" w:after="120" w:line="360" w:lineRule="auto"/>
      <w:ind w:left="720" w:hanging="720"/>
    </w:pPr>
    <w:rPr>
      <w:rFonts w:cs="Times New Roman"/>
      <w:sz w:val="22"/>
      <w:lang w:eastAsia="en-US" w:bidi="ar-SA"/>
    </w:rPr>
  </w:style>
  <w:style w:type="character" w:customStyle="1" w:styleId="pageextent">
    <w:name w:val="§page extent"/>
    <w:rsid w:val="00C24945"/>
    <w:rPr>
      <w:rFonts w:ascii="Times New Roman" w:hAnsi="Times New Roman"/>
      <w:lang w:val="en-US"/>
    </w:rPr>
  </w:style>
  <w:style w:type="character" w:customStyle="1" w:styleId="Articletitle">
    <w:name w:val="§Article title"/>
    <w:rsid w:val="00940F11"/>
    <w:rPr>
      <w:rFonts w:ascii="Times New Roman" w:hAnsi="Times New Roman"/>
      <w:lang w:val="en-US"/>
    </w:rPr>
  </w:style>
  <w:style w:type="character" w:customStyle="1" w:styleId="volume">
    <w:name w:val="§volume"/>
    <w:rsid w:val="00940F11"/>
    <w:rPr>
      <w:rFonts w:ascii="Times New Roman" w:hAnsi="Times New Roman"/>
      <w:b/>
      <w:lang w:val="en-US"/>
    </w:rPr>
  </w:style>
  <w:style w:type="character" w:styleId="UnresolvedMention">
    <w:name w:val="Unresolved Mention"/>
    <w:basedOn w:val="DefaultParagraphFont"/>
    <w:uiPriority w:val="99"/>
    <w:semiHidden/>
    <w:unhideWhenUsed/>
    <w:rsid w:val="00C46B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bp@bgu.ac.i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195F9-A733-4F81-8B87-B9F77EBA6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621</Words>
  <Characters>3543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אוניברסיטת בן גוריון בנגב</vt:lpstr>
    </vt:vector>
  </TitlesOfParts>
  <Company>Ben- Gurion University of the Negev</Company>
  <LinksUpToDate>false</LinksUpToDate>
  <CharactersWithSpaces>4156</CharactersWithSpaces>
  <SharedDoc>false</SharedDoc>
  <HLinks>
    <vt:vector size="18" baseType="variant">
      <vt:variant>
        <vt:i4>2162744</vt:i4>
      </vt:variant>
      <vt:variant>
        <vt:i4>6</vt:i4>
      </vt:variant>
      <vt:variant>
        <vt:i4>0</vt:i4>
      </vt:variant>
      <vt:variant>
        <vt:i4>5</vt:i4>
      </vt:variant>
      <vt:variant>
        <vt:lpwstr>javascript:open_window(%22http://dahab.bgu.ac.il:80/F/HE4Q4I39N7Q89A9ILANGF2Y4C8HKIJDF5HV5SVFQ97YT98PMVI-00556?func=service&amp;doc_number=001402006&amp;line_number=0006&amp;service_type=TAG%22);</vt:lpwstr>
      </vt:variant>
      <vt:variant>
        <vt:lpwstr/>
      </vt:variant>
      <vt:variant>
        <vt:i4>327698</vt:i4>
      </vt:variant>
      <vt:variant>
        <vt:i4>3</vt:i4>
      </vt:variant>
      <vt:variant>
        <vt:i4>0</vt:i4>
      </vt:variant>
      <vt:variant>
        <vt:i4>5</vt:i4>
      </vt:variant>
      <vt:variant>
        <vt:lpwstr>http://www.queensu.ca/sps/WorkingPapers/files/sps_wp_33.pdf</vt:lpwstr>
      </vt:variant>
      <vt:variant>
        <vt:lpwstr/>
      </vt:variant>
      <vt:variant>
        <vt:i4>7209057</vt:i4>
      </vt:variant>
      <vt:variant>
        <vt:i4>0</vt:i4>
      </vt:variant>
      <vt:variant>
        <vt:i4>0</vt:i4>
      </vt:variant>
      <vt:variant>
        <vt:i4>5</vt:i4>
      </vt:variant>
      <vt:variant>
        <vt:lpwstr>http://www.tandf.co.uk/journals/titles/09546553.asp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אוניברסיטת בן גוריון בנגב</dc:title>
  <dc:creator>School of Management</dc:creator>
  <cp:lastModifiedBy>גיא בן פורת</cp:lastModifiedBy>
  <cp:revision>18</cp:revision>
  <cp:lastPrinted>2008-04-07T06:56:00Z</cp:lastPrinted>
  <dcterms:created xsi:type="dcterms:W3CDTF">2023-08-28T07:15:00Z</dcterms:created>
  <dcterms:modified xsi:type="dcterms:W3CDTF">2023-12-16T15:05:00Z</dcterms:modified>
</cp:coreProperties>
</file>