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DD" w:rsidRPr="006F7017" w:rsidRDefault="003571DD" w:rsidP="00804264">
      <w:pPr>
        <w:pStyle w:val="Title"/>
        <w:jc w:val="left"/>
        <w:rPr>
          <w:rFonts w:ascii="David" w:hAnsi="David" w:cs="David"/>
          <w:sz w:val="24"/>
          <w:rtl/>
        </w:rPr>
      </w:pPr>
      <w:r w:rsidRPr="006F7017">
        <w:rPr>
          <w:rFonts w:ascii="David" w:hAnsi="David" w:cs="David"/>
          <w:sz w:val="24"/>
          <w:rtl/>
        </w:rPr>
        <w:t xml:space="preserve">אוניברסיטת </w:t>
      </w:r>
      <w:r w:rsidR="00B078D1" w:rsidRPr="006F7017">
        <w:rPr>
          <w:rFonts w:ascii="David" w:hAnsi="David" w:cs="David"/>
          <w:sz w:val="24"/>
          <w:rtl/>
        </w:rPr>
        <w:t>בן גוריון בנגב</w:t>
      </w:r>
      <w:r w:rsidRPr="006F7017">
        <w:rPr>
          <w:rFonts w:ascii="David" w:hAnsi="David" w:cs="David"/>
          <w:sz w:val="24"/>
          <w:rtl/>
        </w:rPr>
        <w:tab/>
      </w:r>
      <w:r w:rsidRPr="006F7017">
        <w:rPr>
          <w:rFonts w:ascii="David" w:hAnsi="David" w:cs="David"/>
          <w:sz w:val="24"/>
          <w:rtl/>
        </w:rPr>
        <w:tab/>
      </w:r>
      <w:r w:rsidRPr="006F7017">
        <w:rPr>
          <w:rFonts w:ascii="David" w:hAnsi="David" w:cs="David"/>
          <w:sz w:val="24"/>
          <w:rtl/>
        </w:rPr>
        <w:tab/>
      </w:r>
      <w:r w:rsidRPr="006F7017">
        <w:rPr>
          <w:rFonts w:ascii="David" w:hAnsi="David" w:cs="David"/>
          <w:sz w:val="24"/>
          <w:rtl/>
        </w:rPr>
        <w:tab/>
      </w:r>
      <w:r w:rsidR="002A5CC7" w:rsidRPr="006F7017">
        <w:rPr>
          <w:rFonts w:ascii="David" w:hAnsi="David" w:cs="David"/>
          <w:sz w:val="24"/>
          <w:rtl/>
        </w:rPr>
        <w:tab/>
      </w:r>
      <w:r w:rsidR="003C5CB5">
        <w:rPr>
          <w:rFonts w:ascii="David" w:hAnsi="David" w:cs="David"/>
          <w:sz w:val="24"/>
          <w:rtl/>
        </w:rPr>
        <w:tab/>
      </w:r>
      <w:r w:rsidRPr="006F7017">
        <w:rPr>
          <w:rFonts w:ascii="David" w:hAnsi="David" w:cs="David"/>
          <w:sz w:val="24"/>
          <w:rtl/>
        </w:rPr>
        <w:t xml:space="preserve">סמסטר </w:t>
      </w:r>
      <w:r w:rsidR="00804264">
        <w:rPr>
          <w:rFonts w:ascii="David" w:hAnsi="David" w:cs="David" w:hint="cs"/>
          <w:sz w:val="24"/>
          <w:rtl/>
        </w:rPr>
        <w:t>א</w:t>
      </w:r>
      <w:r w:rsidR="000137D2">
        <w:rPr>
          <w:rFonts w:ascii="David" w:hAnsi="David" w:cs="David" w:hint="cs"/>
          <w:sz w:val="24"/>
          <w:rtl/>
        </w:rPr>
        <w:t>'</w:t>
      </w:r>
      <w:r w:rsidR="00B078D1" w:rsidRPr="006F7017">
        <w:rPr>
          <w:rFonts w:ascii="David" w:hAnsi="David" w:cs="David"/>
          <w:sz w:val="24"/>
          <w:rtl/>
        </w:rPr>
        <w:t xml:space="preserve"> תשפ"א</w:t>
      </w:r>
    </w:p>
    <w:p w:rsidR="003571DD" w:rsidRPr="006F7017" w:rsidRDefault="008810EB" w:rsidP="00D16FA4">
      <w:pPr>
        <w:pStyle w:val="Title"/>
        <w:jc w:val="left"/>
        <w:rPr>
          <w:rFonts w:ascii="David" w:hAnsi="David" w:cs="David"/>
          <w:sz w:val="24"/>
          <w:rtl/>
        </w:rPr>
      </w:pPr>
      <w:r w:rsidRPr="006F7017">
        <w:rPr>
          <w:rFonts w:ascii="David" w:hAnsi="David" w:cs="David"/>
          <w:sz w:val="24"/>
          <w:rtl/>
        </w:rPr>
        <w:t xml:space="preserve">החוג </w:t>
      </w:r>
      <w:r w:rsidR="006F7017">
        <w:rPr>
          <w:rFonts w:ascii="David" w:hAnsi="David" w:cs="David" w:hint="cs"/>
          <w:sz w:val="24"/>
          <w:rtl/>
        </w:rPr>
        <w:t>לפוליטיקה וממשל</w:t>
      </w:r>
    </w:p>
    <w:p w:rsidR="003571DD" w:rsidRPr="006F7017" w:rsidRDefault="003571DD" w:rsidP="00D16FA4">
      <w:pPr>
        <w:pStyle w:val="Title"/>
        <w:jc w:val="left"/>
        <w:rPr>
          <w:rFonts w:ascii="David" w:hAnsi="David" w:cs="David"/>
          <w:sz w:val="24"/>
          <w:rtl/>
        </w:rPr>
      </w:pPr>
    </w:p>
    <w:p w:rsidR="003571DD" w:rsidRPr="000137D2" w:rsidRDefault="008810EB" w:rsidP="00D16FA4">
      <w:pPr>
        <w:pStyle w:val="Title"/>
        <w:rPr>
          <w:rStyle w:val="Emphasis"/>
          <w:b/>
          <w:bCs/>
          <w:i w:val="0"/>
          <w:iCs w:val="0"/>
          <w:sz w:val="22"/>
          <w:szCs w:val="28"/>
          <w:u w:val="single"/>
          <w:rtl/>
        </w:rPr>
      </w:pPr>
      <w:r w:rsidRPr="000137D2">
        <w:rPr>
          <w:rStyle w:val="Emphasis"/>
          <w:b/>
          <w:bCs/>
          <w:i w:val="0"/>
          <w:iCs w:val="0"/>
          <w:sz w:val="22"/>
          <w:szCs w:val="28"/>
          <w:u w:val="single"/>
          <w:rtl/>
        </w:rPr>
        <w:t>עובדים</w:t>
      </w:r>
      <w:r w:rsidR="00B078D1" w:rsidRPr="000137D2">
        <w:rPr>
          <w:rStyle w:val="Emphasis"/>
          <w:b/>
          <w:bCs/>
          <w:i w:val="0"/>
          <w:iCs w:val="0"/>
          <w:sz w:val="22"/>
          <w:szCs w:val="28"/>
          <w:u w:val="single"/>
          <w:rtl/>
        </w:rPr>
        <w:t>.ות</w:t>
      </w:r>
      <w:r w:rsidR="00217889" w:rsidRPr="000137D2">
        <w:rPr>
          <w:rStyle w:val="Emphasis"/>
          <w:b/>
          <w:bCs/>
          <w:i w:val="0"/>
          <w:iCs w:val="0"/>
          <w:sz w:val="22"/>
          <w:szCs w:val="28"/>
          <w:u w:val="single"/>
          <w:rtl/>
        </w:rPr>
        <w:t xml:space="preserve"> בחוסר נחת: מאבקים בראי חיי יומיום </w:t>
      </w:r>
      <w:r w:rsidR="00B078D1" w:rsidRPr="000137D2">
        <w:rPr>
          <w:rStyle w:val="Emphasis"/>
          <w:b/>
          <w:bCs/>
          <w:i w:val="0"/>
          <w:iCs w:val="0"/>
          <w:sz w:val="22"/>
          <w:szCs w:val="28"/>
          <w:u w:val="single"/>
          <w:rtl/>
        </w:rPr>
        <w:t xml:space="preserve"> </w:t>
      </w:r>
    </w:p>
    <w:p w:rsidR="003571DD" w:rsidRPr="006F7017" w:rsidRDefault="000137D2" w:rsidP="00D16FA4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יום שלישי, </w:t>
      </w:r>
      <w:r w:rsidR="00F04B8F">
        <w:rPr>
          <w:rFonts w:ascii="David" w:hAnsi="David" w:cs="David" w:hint="cs"/>
          <w:sz w:val="24"/>
          <w:szCs w:val="24"/>
          <w:rtl/>
        </w:rPr>
        <w:t>16 - 20</w:t>
      </w:r>
    </w:p>
    <w:p w:rsidR="003571DD" w:rsidRPr="006F7017" w:rsidRDefault="003571DD" w:rsidP="00D16FA4">
      <w:pPr>
        <w:spacing w:line="360" w:lineRule="auto"/>
        <w:jc w:val="center"/>
        <w:rPr>
          <w:rFonts w:ascii="David" w:hAnsi="David" w:cs="David"/>
          <w:color w:val="000000"/>
          <w:sz w:val="24"/>
          <w:szCs w:val="24"/>
          <w:rtl/>
        </w:rPr>
      </w:pPr>
      <w:r w:rsidRPr="006F7017">
        <w:rPr>
          <w:rFonts w:ascii="David" w:hAnsi="David" w:cs="David"/>
          <w:color w:val="000000"/>
          <w:sz w:val="24"/>
          <w:szCs w:val="24"/>
          <w:rtl/>
        </w:rPr>
        <w:t>ד"ר שני בר-און</w:t>
      </w:r>
      <w:r w:rsidR="000137D2">
        <w:rPr>
          <w:rFonts w:ascii="David" w:hAnsi="David" w:cs="David" w:hint="cs"/>
          <w:color w:val="000000"/>
          <w:sz w:val="24"/>
          <w:szCs w:val="24"/>
          <w:rtl/>
        </w:rPr>
        <w:t xml:space="preserve"> ממן</w:t>
      </w:r>
      <w:r w:rsidRPr="006F7017">
        <w:rPr>
          <w:rFonts w:ascii="David" w:hAnsi="David" w:cs="David"/>
          <w:color w:val="000000"/>
          <w:sz w:val="24"/>
          <w:szCs w:val="24"/>
          <w:rtl/>
        </w:rPr>
        <w:t xml:space="preserve">, </w:t>
      </w:r>
      <w:r w:rsidR="00E60B70" w:rsidRPr="006F7017">
        <w:rPr>
          <w:rFonts w:ascii="David" w:hAnsi="David" w:cs="David"/>
          <w:color w:val="000000"/>
          <w:sz w:val="24"/>
          <w:szCs w:val="24"/>
        </w:rPr>
        <w:t>baronsha@gmail.com</w:t>
      </w:r>
    </w:p>
    <w:p w:rsidR="00E60B70" w:rsidRPr="006F7017" w:rsidRDefault="00E60B70" w:rsidP="00D16FA4">
      <w:pPr>
        <w:spacing w:line="360" w:lineRule="auto"/>
        <w:jc w:val="center"/>
        <w:rPr>
          <w:rFonts w:ascii="David" w:hAnsi="David" w:cs="David"/>
          <w:color w:val="000000"/>
          <w:sz w:val="24"/>
          <w:szCs w:val="24"/>
        </w:rPr>
      </w:pPr>
      <w:r w:rsidRPr="006F7017">
        <w:rPr>
          <w:rFonts w:ascii="David" w:hAnsi="David" w:cs="David"/>
          <w:color w:val="000000"/>
          <w:sz w:val="24"/>
          <w:szCs w:val="24"/>
          <w:rtl/>
        </w:rPr>
        <w:t xml:space="preserve">שעת קבלה: </w:t>
      </w:r>
      <w:r w:rsidR="00FF07E4" w:rsidRPr="006F7017">
        <w:rPr>
          <w:rFonts w:ascii="David" w:hAnsi="David" w:cs="David"/>
          <w:color w:val="000000"/>
          <w:sz w:val="24"/>
          <w:szCs w:val="24"/>
          <w:rtl/>
        </w:rPr>
        <w:t xml:space="preserve">יום </w:t>
      </w:r>
      <w:r w:rsidR="000137D2">
        <w:rPr>
          <w:rFonts w:ascii="David" w:hAnsi="David" w:cs="David" w:hint="cs"/>
          <w:color w:val="000000"/>
          <w:sz w:val="24"/>
          <w:szCs w:val="24"/>
          <w:rtl/>
        </w:rPr>
        <w:t xml:space="preserve">שלישי, </w:t>
      </w:r>
      <w:r w:rsidR="006812F2">
        <w:rPr>
          <w:rFonts w:ascii="David" w:hAnsi="David" w:cs="David" w:hint="cs"/>
          <w:color w:val="000000"/>
          <w:sz w:val="24"/>
          <w:szCs w:val="24"/>
          <w:rtl/>
        </w:rPr>
        <w:t>15</w:t>
      </w:r>
      <w:r w:rsidR="0006478D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bookmarkStart w:id="0" w:name="_GoBack"/>
      <w:bookmarkEnd w:id="0"/>
      <w:r w:rsidR="006812F2">
        <w:rPr>
          <w:rFonts w:ascii="David" w:hAnsi="David" w:cs="David" w:hint="cs"/>
          <w:color w:val="000000"/>
          <w:sz w:val="24"/>
          <w:szCs w:val="24"/>
          <w:rtl/>
        </w:rPr>
        <w:t>-16</w:t>
      </w:r>
      <w:r w:rsidR="000137D2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FF07E4" w:rsidRPr="006F701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FF07E4" w:rsidRPr="000137D2">
        <w:rPr>
          <w:rFonts w:ascii="David" w:hAnsi="David" w:cs="David"/>
          <w:b/>
          <w:bCs/>
          <w:color w:val="000000"/>
          <w:sz w:val="24"/>
          <w:szCs w:val="24"/>
          <w:rtl/>
        </w:rPr>
        <w:t>בתיאום מראש</w:t>
      </w:r>
    </w:p>
    <w:p w:rsidR="003571DD" w:rsidRPr="006F7017" w:rsidRDefault="003571DD" w:rsidP="00D16FA4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:rsidR="003571DD" w:rsidRPr="000137D2" w:rsidRDefault="003571DD" w:rsidP="00D16FA4">
      <w:pPr>
        <w:pStyle w:val="Title"/>
        <w:jc w:val="left"/>
        <w:rPr>
          <w:rtl/>
        </w:rPr>
      </w:pPr>
      <w:r w:rsidRPr="000137D2">
        <w:rPr>
          <w:rtl/>
        </w:rPr>
        <w:t>1. מטרות ה</w:t>
      </w:r>
      <w:r w:rsidR="00B078D1" w:rsidRPr="000137D2">
        <w:rPr>
          <w:rtl/>
        </w:rPr>
        <w:t>סמינר</w:t>
      </w:r>
    </w:p>
    <w:p w:rsidR="00E82313" w:rsidRDefault="006F7017" w:rsidP="00D16FA4">
      <w:pPr>
        <w:spacing w:line="360" w:lineRule="auto"/>
        <w:jc w:val="both"/>
        <w:rPr>
          <w:rFonts w:ascii="Bookman Old Style" w:hAnsi="Bookman Old Style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הסמינר יעסוק בחיי יומיום של עובדים ועובדות בישראל ומחוצה לה, תוך ניתוח אינטרדיסציפלינרי של מאבקיהם.ן. מטרתו </w:t>
      </w:r>
      <w:r w:rsidR="000137D2">
        <w:rPr>
          <w:rFonts w:ascii="David" w:hAnsi="David" w:cs="David" w:hint="cs"/>
          <w:sz w:val="24"/>
          <w:szCs w:val="24"/>
          <w:rtl/>
        </w:rPr>
        <w:t xml:space="preserve">לערוך </w:t>
      </w:r>
      <w:r>
        <w:rPr>
          <w:rFonts w:ascii="David" w:hAnsi="David" w:cs="David" w:hint="cs"/>
          <w:sz w:val="24"/>
          <w:szCs w:val="24"/>
          <w:rtl/>
        </w:rPr>
        <w:t>היכרות עם מושגי יסוד במאבקי</w:t>
      </w:r>
      <w:r w:rsidR="000137D2">
        <w:rPr>
          <w:rFonts w:ascii="David" w:hAnsi="David" w:cs="David" w:hint="cs"/>
          <w:sz w:val="24"/>
          <w:szCs w:val="24"/>
          <w:rtl/>
        </w:rPr>
        <w:t xml:space="preserve"> עובדים.ות</w:t>
      </w:r>
      <w:r>
        <w:rPr>
          <w:rFonts w:ascii="David" w:hAnsi="David" w:cs="David" w:hint="cs"/>
          <w:sz w:val="24"/>
          <w:szCs w:val="24"/>
          <w:rtl/>
        </w:rPr>
        <w:t>, ולאפשר הבנה מ</w:t>
      </w:r>
      <w:r w:rsidR="000137D2">
        <w:rPr>
          <w:rFonts w:ascii="David" w:hAnsi="David" w:cs="David" w:hint="cs"/>
          <w:sz w:val="24"/>
          <w:szCs w:val="24"/>
          <w:rtl/>
        </w:rPr>
        <w:t>עמיקה</w:t>
      </w:r>
      <w:r>
        <w:rPr>
          <w:rFonts w:ascii="David" w:hAnsi="David" w:cs="David" w:hint="cs"/>
          <w:sz w:val="24"/>
          <w:szCs w:val="24"/>
          <w:rtl/>
        </w:rPr>
        <w:t xml:space="preserve"> של </w:t>
      </w:r>
      <w:r w:rsidR="000137D2">
        <w:rPr>
          <w:rFonts w:ascii="David" w:hAnsi="David" w:cs="David" w:hint="cs"/>
          <w:sz w:val="24"/>
          <w:szCs w:val="24"/>
          <w:rtl/>
        </w:rPr>
        <w:t xml:space="preserve">תהליכים חברתיים, פוליטיים וכלכליים כפי שהם משתקפים ברגעי חוסר נחת. </w:t>
      </w:r>
      <w:r w:rsidR="003C2C7B">
        <w:rPr>
          <w:rFonts w:ascii="David" w:hAnsi="David" w:cs="David" w:hint="cs"/>
          <w:sz w:val="24"/>
          <w:szCs w:val="24"/>
          <w:rtl/>
        </w:rPr>
        <w:t xml:space="preserve">בין השאר ייסקרו תהליכים  כמו צמיחתן של מפלגות פוליטיות, בניין אומה ומדינה, וזהויות שזורות במעמד כמו מגדר ואתניות. </w:t>
      </w:r>
      <w:r w:rsidR="000137D2">
        <w:rPr>
          <w:rFonts w:ascii="David" w:hAnsi="David" w:cs="David" w:hint="cs"/>
          <w:sz w:val="24"/>
          <w:szCs w:val="24"/>
          <w:rtl/>
        </w:rPr>
        <w:t xml:space="preserve">הדיון יעסוק בהיבטים אלו תוך סקירה לא ממצה של מאבקים </w:t>
      </w:r>
      <w:r w:rsidR="00E82313">
        <w:rPr>
          <w:rFonts w:ascii="David" w:hAnsi="David" w:cs="David" w:hint="cs"/>
          <w:sz w:val="24"/>
          <w:szCs w:val="24"/>
          <w:rtl/>
        </w:rPr>
        <w:t xml:space="preserve">ברחבי העולם ובפלשתינה-א"י/ ישראל </w:t>
      </w:r>
      <w:r w:rsidR="000137D2">
        <w:rPr>
          <w:rFonts w:ascii="David" w:hAnsi="David" w:cs="David" w:hint="cs"/>
          <w:sz w:val="24"/>
          <w:szCs w:val="24"/>
          <w:rtl/>
        </w:rPr>
        <w:t xml:space="preserve">במהלך המאה העשרים, באופן המשלב דיון נושאי וכרונולוגי. </w:t>
      </w:r>
      <w:r w:rsidR="00E82313">
        <w:rPr>
          <w:rFonts w:ascii="Bookman Old Style" w:hAnsi="Bookman Old Style" w:cs="David" w:hint="cs"/>
          <w:sz w:val="24"/>
          <w:szCs w:val="24"/>
          <w:rtl/>
        </w:rPr>
        <w:t>במקביל תינתן הנחיה קבוצתית ואישית בכתיבת הסמינר.</w:t>
      </w:r>
    </w:p>
    <w:p w:rsidR="000137D2" w:rsidRPr="006F7017" w:rsidRDefault="000137D2" w:rsidP="00D16FA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571DD" w:rsidRPr="000137D2" w:rsidRDefault="003571DD" w:rsidP="00D16FA4">
      <w:pPr>
        <w:pStyle w:val="Title"/>
        <w:jc w:val="left"/>
        <w:rPr>
          <w:rtl/>
        </w:rPr>
      </w:pPr>
      <w:r w:rsidRPr="000137D2">
        <w:rPr>
          <w:rtl/>
        </w:rPr>
        <w:t xml:space="preserve">2. מטלות </w:t>
      </w:r>
    </w:p>
    <w:p w:rsidR="006F7017" w:rsidRDefault="006F7017" w:rsidP="00D16FA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השתתפות.................................</w:t>
      </w:r>
      <w:r>
        <w:rPr>
          <w:rFonts w:ascii="David" w:hAnsi="David" w:cs="David"/>
          <w:sz w:val="24"/>
          <w:szCs w:val="24"/>
          <w:rtl/>
        </w:rPr>
        <w:tab/>
      </w:r>
      <w:r w:rsidRPr="00216EAF">
        <w:rPr>
          <w:rFonts w:ascii="David" w:hAnsi="David" w:cs="David" w:hint="cs"/>
          <w:b/>
          <w:bCs/>
          <w:sz w:val="24"/>
          <w:szCs w:val="24"/>
          <w:rtl/>
        </w:rPr>
        <w:t>חובה</w:t>
      </w:r>
      <w:r w:rsidR="006812F2">
        <w:rPr>
          <w:rStyle w:val="FootnoteReference"/>
          <w:rFonts w:ascii="Bookman Old Style" w:hAnsi="Bookman Old Style" w:cs="David"/>
          <w:sz w:val="24"/>
          <w:szCs w:val="24"/>
          <w:rtl/>
        </w:rPr>
        <w:footnoteReference w:id="1"/>
      </w:r>
    </w:p>
    <w:p w:rsidR="006F7017" w:rsidRDefault="006F7017" w:rsidP="00D16FA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ניתוח מסמך......................</w:t>
      </w:r>
      <w:r>
        <w:rPr>
          <w:rFonts w:ascii="David" w:hAnsi="David" w:cs="David"/>
          <w:sz w:val="24"/>
          <w:szCs w:val="24"/>
          <w:rtl/>
        </w:rPr>
        <w:tab/>
      </w:r>
      <w:r w:rsidRPr="006F7017">
        <w:rPr>
          <w:rFonts w:ascii="David" w:hAnsi="David" w:cs="David"/>
          <w:sz w:val="24"/>
          <w:szCs w:val="24"/>
          <w:rtl/>
        </w:rPr>
        <w:t>10%</w:t>
      </w:r>
    </w:p>
    <w:p w:rsidR="006F7017" w:rsidRPr="006F7017" w:rsidRDefault="006F7017" w:rsidP="00D16FA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הגשת מסמך </w:t>
      </w:r>
      <w:r w:rsidR="006812F2">
        <w:rPr>
          <w:rFonts w:ascii="David" w:hAnsi="David" w:cs="David" w:hint="cs"/>
          <w:sz w:val="24"/>
          <w:szCs w:val="24"/>
          <w:rtl/>
        </w:rPr>
        <w:t>כוונות</w:t>
      </w:r>
      <w:r>
        <w:rPr>
          <w:rFonts w:ascii="David" w:hAnsi="David" w:cs="David" w:hint="cs"/>
          <w:sz w:val="24"/>
          <w:szCs w:val="24"/>
          <w:rtl/>
        </w:rPr>
        <w:t>..............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10%</w:t>
      </w:r>
      <w:r>
        <w:rPr>
          <w:rFonts w:ascii="David" w:hAnsi="David" w:cs="David" w:hint="cs"/>
          <w:sz w:val="24"/>
          <w:szCs w:val="24"/>
          <w:rtl/>
        </w:rPr>
        <w:tab/>
      </w:r>
    </w:p>
    <w:p w:rsidR="003571DD" w:rsidRPr="006F7017" w:rsidRDefault="003571DD" w:rsidP="00D16FA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F7017">
        <w:rPr>
          <w:rFonts w:ascii="David" w:hAnsi="David" w:cs="David"/>
          <w:sz w:val="24"/>
          <w:szCs w:val="24"/>
          <w:rtl/>
        </w:rPr>
        <w:t>רפרט</w:t>
      </w:r>
      <w:r w:rsidRPr="006F7017">
        <w:rPr>
          <w:rFonts w:ascii="David" w:hAnsi="David" w:cs="David"/>
          <w:sz w:val="24"/>
          <w:szCs w:val="24"/>
        </w:rPr>
        <w:t>………</w:t>
      </w:r>
      <w:r w:rsidR="00B078D1" w:rsidRPr="006F7017">
        <w:rPr>
          <w:rFonts w:ascii="David" w:hAnsi="David" w:cs="David"/>
          <w:sz w:val="24"/>
          <w:szCs w:val="24"/>
          <w:rtl/>
        </w:rPr>
        <w:t>........................</w:t>
      </w:r>
      <w:r w:rsidR="006F7017">
        <w:rPr>
          <w:rFonts w:ascii="David" w:hAnsi="David" w:cs="David"/>
          <w:sz w:val="24"/>
          <w:szCs w:val="24"/>
          <w:rtl/>
        </w:rPr>
        <w:tab/>
      </w:r>
      <w:r w:rsidR="006F7017">
        <w:rPr>
          <w:rFonts w:ascii="David" w:hAnsi="David" w:cs="David" w:hint="cs"/>
          <w:sz w:val="24"/>
          <w:szCs w:val="24"/>
          <w:rtl/>
        </w:rPr>
        <w:t>2</w:t>
      </w:r>
      <w:r w:rsidRPr="006F7017">
        <w:rPr>
          <w:rFonts w:ascii="David" w:hAnsi="David" w:cs="David"/>
          <w:sz w:val="24"/>
          <w:szCs w:val="24"/>
          <w:rtl/>
        </w:rPr>
        <w:t>0%</w:t>
      </w:r>
    </w:p>
    <w:p w:rsidR="003571DD" w:rsidRPr="006F7017" w:rsidRDefault="003571DD" w:rsidP="00D16FA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F7017">
        <w:rPr>
          <w:rFonts w:ascii="David" w:hAnsi="David" w:cs="David"/>
          <w:sz w:val="24"/>
          <w:szCs w:val="24"/>
          <w:rtl/>
        </w:rPr>
        <w:t>עבודה מסכמת</w:t>
      </w:r>
      <w:r w:rsidRPr="006F7017">
        <w:rPr>
          <w:rFonts w:ascii="David" w:hAnsi="David" w:cs="David"/>
          <w:sz w:val="24"/>
          <w:szCs w:val="24"/>
        </w:rPr>
        <w:t>…</w:t>
      </w:r>
      <w:r w:rsidR="00B078D1" w:rsidRPr="006F7017">
        <w:rPr>
          <w:rFonts w:ascii="David" w:hAnsi="David" w:cs="David"/>
          <w:sz w:val="24"/>
          <w:szCs w:val="24"/>
          <w:rtl/>
        </w:rPr>
        <w:t>..................</w:t>
      </w:r>
      <w:r w:rsidR="006F7017">
        <w:rPr>
          <w:rFonts w:ascii="David" w:hAnsi="David" w:cs="David"/>
          <w:sz w:val="24"/>
          <w:szCs w:val="24"/>
          <w:rtl/>
        </w:rPr>
        <w:tab/>
      </w:r>
      <w:r w:rsidRPr="006F7017">
        <w:rPr>
          <w:rFonts w:ascii="David" w:hAnsi="David" w:cs="David"/>
          <w:sz w:val="24"/>
          <w:szCs w:val="24"/>
          <w:rtl/>
        </w:rPr>
        <w:t>60%</w:t>
      </w:r>
    </w:p>
    <w:p w:rsidR="003571DD" w:rsidRPr="006F7017" w:rsidRDefault="003571DD" w:rsidP="00D16FA4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3571DD" w:rsidRPr="000137D2" w:rsidRDefault="003571DD" w:rsidP="00D16FA4">
      <w:pPr>
        <w:pStyle w:val="Title"/>
        <w:jc w:val="left"/>
        <w:rPr>
          <w:rtl/>
        </w:rPr>
      </w:pPr>
      <w:r w:rsidRPr="000137D2">
        <w:rPr>
          <w:rtl/>
        </w:rPr>
        <w:t>3. ראשי פרקים</w:t>
      </w:r>
      <w:r w:rsidR="006812F2">
        <w:rPr>
          <w:rFonts w:hint="cs"/>
          <w:rtl/>
        </w:rPr>
        <w:t xml:space="preserve"> וביבליוגרפיה נבחרת</w:t>
      </w:r>
      <w:r w:rsidR="006812F2">
        <w:rPr>
          <w:rStyle w:val="FootnoteReference"/>
          <w:rtl/>
        </w:rPr>
        <w:footnoteReference w:id="2"/>
      </w:r>
    </w:p>
    <w:p w:rsidR="0016122A" w:rsidRPr="00821732" w:rsidRDefault="00E60B70" w:rsidP="00D16FA4">
      <w:pPr>
        <w:pStyle w:val="Title"/>
        <w:numPr>
          <w:ilvl w:val="0"/>
          <w:numId w:val="13"/>
        </w:numPr>
        <w:jc w:val="left"/>
        <w:rPr>
          <w:rStyle w:val="Emphasis"/>
        </w:rPr>
      </w:pPr>
      <w:r w:rsidRPr="00821732">
        <w:rPr>
          <w:rStyle w:val="Emphasis"/>
          <w:rtl/>
        </w:rPr>
        <w:t>מבוא</w:t>
      </w:r>
    </w:p>
    <w:p w:rsidR="00821732" w:rsidRPr="00E94749" w:rsidRDefault="00056463" w:rsidP="00056463">
      <w:pPr>
        <w:numPr>
          <w:ilvl w:val="0"/>
          <w:numId w:val="4"/>
        </w:numPr>
        <w:bidi w:val="0"/>
        <w:spacing w:line="360" w:lineRule="auto"/>
        <w:rPr>
          <w:rFonts w:cs="Times New Roman"/>
          <w:sz w:val="24"/>
          <w:szCs w:val="24"/>
        </w:rPr>
      </w:pPr>
      <w:r w:rsidRPr="00E94749">
        <w:rPr>
          <w:rFonts w:cs="Times New Roman"/>
          <w:sz w:val="24"/>
          <w:szCs w:val="24"/>
        </w:rPr>
        <w:t>Katzenelson I.</w:t>
      </w:r>
      <w:r w:rsidRPr="00E94749">
        <w:rPr>
          <w:rFonts w:cs="Times New Roman"/>
          <w:sz w:val="24"/>
          <w:szCs w:val="24"/>
          <w:rtl/>
        </w:rPr>
        <w:t xml:space="preserve"> </w:t>
      </w:r>
      <w:r w:rsidRPr="00E94749">
        <w:rPr>
          <w:rFonts w:cs="Times New Roman"/>
          <w:sz w:val="24"/>
          <w:szCs w:val="24"/>
        </w:rPr>
        <w:t xml:space="preserve"> (1986). </w:t>
      </w:r>
      <w:r w:rsidR="00821732" w:rsidRPr="00E94749">
        <w:rPr>
          <w:rFonts w:cs="Times New Roman"/>
          <w:sz w:val="24"/>
          <w:szCs w:val="24"/>
        </w:rPr>
        <w:t>Working class formation: constructing cases and</w:t>
      </w:r>
      <w:r w:rsidRPr="00E94749">
        <w:rPr>
          <w:rFonts w:cs="Times New Roman"/>
          <w:snapToGrid w:val="0"/>
          <w:color w:val="000000"/>
          <w:sz w:val="24"/>
          <w:szCs w:val="24"/>
        </w:rPr>
        <w:t xml:space="preserve"> comparisons</w:t>
      </w:r>
      <w:r w:rsidR="00821732" w:rsidRPr="00E94749">
        <w:rPr>
          <w:rFonts w:cs="Times New Roman"/>
          <w:snapToGrid w:val="0"/>
          <w:color w:val="000000"/>
          <w:sz w:val="24"/>
          <w:szCs w:val="24"/>
        </w:rPr>
        <w:t xml:space="preserve">, In: Katzenelson I., and Zolberg A.R. (Eds.), </w:t>
      </w:r>
      <w:r w:rsidR="00821732" w:rsidRPr="00E94749">
        <w:rPr>
          <w:rFonts w:cs="Times New Roman"/>
          <w:i/>
          <w:iCs/>
          <w:sz w:val="24"/>
          <w:szCs w:val="24"/>
        </w:rPr>
        <w:t>Working Class Formation</w:t>
      </w:r>
      <w:r w:rsidR="00821732" w:rsidRPr="00E94749">
        <w:rPr>
          <w:rFonts w:cs="Times New Roman"/>
          <w:snapToGrid w:val="0"/>
          <w:color w:val="000000"/>
          <w:sz w:val="24"/>
          <w:szCs w:val="24"/>
        </w:rPr>
        <w:t xml:space="preserve">, </w:t>
      </w:r>
      <w:r w:rsidR="00821732" w:rsidRPr="00E94749">
        <w:rPr>
          <w:rFonts w:cs="Times New Roman"/>
          <w:sz w:val="24"/>
          <w:szCs w:val="24"/>
        </w:rPr>
        <w:t>Princeton: Princeton University Press</w:t>
      </w:r>
      <w:r w:rsidR="00821732" w:rsidRPr="00E94749">
        <w:rPr>
          <w:rFonts w:cs="Times New Roman"/>
          <w:snapToGrid w:val="0"/>
          <w:color w:val="000000"/>
          <w:sz w:val="24"/>
          <w:szCs w:val="24"/>
        </w:rPr>
        <w:t xml:space="preserve"> pp. 3-41</w:t>
      </w:r>
      <w:r w:rsidR="00821732" w:rsidRPr="00E94749">
        <w:rPr>
          <w:rFonts w:cs="Times New Roman"/>
          <w:sz w:val="24"/>
          <w:szCs w:val="24"/>
        </w:rPr>
        <w:t>.</w:t>
      </w:r>
    </w:p>
    <w:p w:rsidR="0016122A" w:rsidRPr="00E94749" w:rsidRDefault="0016122A" w:rsidP="00E94749">
      <w:pPr>
        <w:numPr>
          <w:ilvl w:val="0"/>
          <w:numId w:val="4"/>
        </w:numPr>
        <w:bidi w:val="0"/>
        <w:spacing w:line="360" w:lineRule="auto"/>
        <w:rPr>
          <w:rFonts w:cs="Times New Roman"/>
          <w:sz w:val="24"/>
          <w:szCs w:val="24"/>
        </w:rPr>
      </w:pPr>
      <w:r w:rsidRPr="00E94749">
        <w:rPr>
          <w:rFonts w:cs="Times New Roman"/>
          <w:sz w:val="24"/>
          <w:szCs w:val="24"/>
        </w:rPr>
        <w:t>Thompson E.P.</w:t>
      </w:r>
      <w:r w:rsidR="00E94749" w:rsidRPr="00E94749">
        <w:rPr>
          <w:rFonts w:cs="Times New Roman"/>
          <w:sz w:val="24"/>
          <w:szCs w:val="24"/>
        </w:rPr>
        <w:t xml:space="preserve"> (1963/1968).</w:t>
      </w:r>
      <w:r w:rsidRPr="00E94749">
        <w:rPr>
          <w:rFonts w:cs="Times New Roman"/>
          <w:sz w:val="24"/>
          <w:szCs w:val="24"/>
        </w:rPr>
        <w:t xml:space="preserve"> </w:t>
      </w:r>
      <w:r w:rsidRPr="00E94749">
        <w:rPr>
          <w:rFonts w:cs="Times New Roman"/>
          <w:i/>
          <w:iCs/>
          <w:sz w:val="24"/>
          <w:szCs w:val="24"/>
        </w:rPr>
        <w:t>The Making of the English Working Class</w:t>
      </w:r>
      <w:r w:rsidRPr="00E94749">
        <w:rPr>
          <w:rFonts w:cs="Times New Roman"/>
          <w:sz w:val="24"/>
          <w:szCs w:val="24"/>
        </w:rPr>
        <w:t>, Middlesex: Penguin books, pp. 9-13.</w:t>
      </w:r>
    </w:p>
    <w:p w:rsidR="0016122A" w:rsidRPr="00E94749" w:rsidRDefault="0016122A" w:rsidP="00E94749">
      <w:pPr>
        <w:numPr>
          <w:ilvl w:val="0"/>
          <w:numId w:val="4"/>
        </w:numPr>
        <w:bidi w:val="0"/>
        <w:spacing w:line="360" w:lineRule="auto"/>
        <w:rPr>
          <w:rFonts w:cs="Times New Roman"/>
          <w:sz w:val="24"/>
          <w:szCs w:val="24"/>
        </w:rPr>
      </w:pPr>
      <w:r w:rsidRPr="00E94749">
        <w:rPr>
          <w:rFonts w:cs="Times New Roman"/>
          <w:sz w:val="24"/>
          <w:szCs w:val="24"/>
        </w:rPr>
        <w:t>Tilly C.</w:t>
      </w:r>
      <w:r w:rsidR="00E94749" w:rsidRPr="00E94749">
        <w:rPr>
          <w:rFonts w:cs="Times New Roman"/>
          <w:sz w:val="24"/>
          <w:szCs w:val="24"/>
        </w:rPr>
        <w:t xml:space="preserve"> (1995). Retrieving European lives</w:t>
      </w:r>
      <w:r w:rsidRPr="00E94749">
        <w:rPr>
          <w:rFonts w:cs="Times New Roman"/>
          <w:sz w:val="24"/>
          <w:szCs w:val="24"/>
        </w:rPr>
        <w:t xml:space="preserve">, In: Zunz O. (Ed.), </w:t>
      </w:r>
      <w:r w:rsidRPr="00E94749">
        <w:rPr>
          <w:rFonts w:cs="Times New Roman"/>
          <w:i/>
          <w:iCs/>
          <w:sz w:val="24"/>
          <w:szCs w:val="24"/>
        </w:rPr>
        <w:t>Reliving the Past: The worlds of Social History</w:t>
      </w:r>
      <w:r w:rsidRPr="00E94749">
        <w:rPr>
          <w:rFonts w:cs="Times New Roman"/>
          <w:sz w:val="24"/>
          <w:szCs w:val="24"/>
        </w:rPr>
        <w:t>, Ann Arbor, Mich.: University</w:t>
      </w:r>
      <w:r w:rsidR="00E94749" w:rsidRPr="00E94749">
        <w:rPr>
          <w:rFonts w:cs="Times New Roman"/>
          <w:sz w:val="24"/>
          <w:szCs w:val="24"/>
        </w:rPr>
        <w:t xml:space="preserve"> Microfilms International,</w:t>
      </w:r>
      <w:r w:rsidRPr="00E94749">
        <w:rPr>
          <w:rFonts w:cs="Times New Roman"/>
          <w:sz w:val="24"/>
          <w:szCs w:val="24"/>
        </w:rPr>
        <w:t xml:space="preserve"> pp. 11-52. </w:t>
      </w:r>
    </w:p>
    <w:p w:rsidR="00056463" w:rsidRDefault="00056463" w:rsidP="00056463">
      <w:pPr>
        <w:bidi w:val="0"/>
        <w:spacing w:line="360" w:lineRule="auto"/>
        <w:ind w:left="360"/>
        <w:rPr>
          <w:rFonts w:ascii="David" w:hAnsi="David" w:cs="David"/>
          <w:sz w:val="24"/>
          <w:szCs w:val="24"/>
        </w:rPr>
      </w:pPr>
    </w:p>
    <w:p w:rsidR="00821732" w:rsidRDefault="00821732" w:rsidP="00D16FA4">
      <w:pPr>
        <w:pStyle w:val="Title"/>
        <w:numPr>
          <w:ilvl w:val="0"/>
          <w:numId w:val="13"/>
        </w:numPr>
        <w:jc w:val="left"/>
        <w:rPr>
          <w:rStyle w:val="Emphasis"/>
        </w:rPr>
      </w:pPr>
      <w:r>
        <w:rPr>
          <w:rStyle w:val="Emphasis"/>
          <w:rFonts w:hint="cs"/>
          <w:rtl/>
        </w:rPr>
        <w:t>בין תיאוריה לאמפיריקה</w:t>
      </w:r>
    </w:p>
    <w:p w:rsidR="00821732" w:rsidRPr="00E94749" w:rsidRDefault="00E94749" w:rsidP="00E94749">
      <w:pPr>
        <w:numPr>
          <w:ilvl w:val="0"/>
          <w:numId w:val="4"/>
        </w:numPr>
        <w:bidi w:val="0"/>
        <w:spacing w:line="360" w:lineRule="auto"/>
        <w:rPr>
          <w:rFonts w:cs="Times New Roman"/>
          <w:sz w:val="24"/>
          <w:szCs w:val="24"/>
        </w:rPr>
      </w:pPr>
      <w:r w:rsidRPr="00E94749">
        <w:rPr>
          <w:rFonts w:cs="Times New Roman"/>
          <w:sz w:val="24"/>
          <w:szCs w:val="24"/>
        </w:rPr>
        <w:t xml:space="preserve">Thompson E.P. (1971). </w:t>
      </w:r>
      <w:r w:rsidR="00821732" w:rsidRPr="00E94749">
        <w:rPr>
          <w:rFonts w:cs="Times New Roman"/>
          <w:sz w:val="24"/>
          <w:szCs w:val="24"/>
        </w:rPr>
        <w:t xml:space="preserve">The Moral Economy of the English Crowd in the Eighteenth Century, </w:t>
      </w:r>
      <w:r w:rsidR="00821732" w:rsidRPr="00E94749">
        <w:rPr>
          <w:rFonts w:cs="Times New Roman"/>
          <w:i/>
          <w:iCs/>
          <w:sz w:val="24"/>
          <w:szCs w:val="24"/>
        </w:rPr>
        <w:t>Past and Present</w:t>
      </w:r>
      <w:r w:rsidR="00821732" w:rsidRPr="00E94749">
        <w:rPr>
          <w:rFonts w:cs="Times New Roman"/>
          <w:sz w:val="24"/>
          <w:szCs w:val="24"/>
        </w:rPr>
        <w:t>, 50: 76-136.</w:t>
      </w:r>
    </w:p>
    <w:p w:rsidR="00B8202C" w:rsidRPr="00E94749" w:rsidRDefault="00B8202C" w:rsidP="00E94749">
      <w:pPr>
        <w:numPr>
          <w:ilvl w:val="0"/>
          <w:numId w:val="4"/>
        </w:numPr>
        <w:bidi w:val="0"/>
        <w:spacing w:line="360" w:lineRule="auto"/>
        <w:rPr>
          <w:rFonts w:cs="Times New Roman"/>
          <w:sz w:val="24"/>
          <w:szCs w:val="24"/>
        </w:rPr>
      </w:pPr>
      <w:r w:rsidRPr="00E94749">
        <w:rPr>
          <w:rFonts w:cs="Times New Roman"/>
          <w:sz w:val="24"/>
          <w:szCs w:val="24"/>
        </w:rPr>
        <w:t>Tilly, C</w:t>
      </w:r>
      <w:r w:rsidR="00E94749" w:rsidRPr="00E94749">
        <w:rPr>
          <w:rFonts w:cs="Times New Roman"/>
          <w:sz w:val="24"/>
          <w:szCs w:val="24"/>
        </w:rPr>
        <w:t>.</w:t>
      </w:r>
      <w:r w:rsidRPr="00E94749">
        <w:rPr>
          <w:rFonts w:cs="Times New Roman"/>
          <w:sz w:val="24"/>
          <w:szCs w:val="24"/>
        </w:rPr>
        <w:t xml:space="preserve">, </w:t>
      </w:r>
      <w:r w:rsidR="00E94749" w:rsidRPr="00E94749">
        <w:rPr>
          <w:rFonts w:cs="Times New Roman"/>
          <w:sz w:val="24"/>
          <w:szCs w:val="24"/>
        </w:rPr>
        <w:t>&amp;</w:t>
      </w:r>
      <w:r w:rsidRPr="00E94749">
        <w:rPr>
          <w:rFonts w:cs="Times New Roman"/>
          <w:sz w:val="24"/>
          <w:szCs w:val="24"/>
        </w:rPr>
        <w:t xml:space="preserve"> Tarrow</w:t>
      </w:r>
      <w:r w:rsidR="00E94749" w:rsidRPr="00E94749">
        <w:rPr>
          <w:rFonts w:cs="Times New Roman"/>
          <w:sz w:val="24"/>
          <w:szCs w:val="24"/>
        </w:rPr>
        <w:t xml:space="preserve"> S. (2015)</w:t>
      </w:r>
      <w:r w:rsidRPr="00E94749">
        <w:rPr>
          <w:rFonts w:cs="Times New Roman"/>
          <w:sz w:val="24"/>
          <w:szCs w:val="24"/>
        </w:rPr>
        <w:t>. </w:t>
      </w:r>
      <w:r w:rsidRPr="00E94749">
        <w:rPr>
          <w:rFonts w:cs="Times New Roman"/>
          <w:i/>
          <w:iCs/>
          <w:sz w:val="24"/>
          <w:szCs w:val="24"/>
        </w:rPr>
        <w:t>Contentious Politics</w:t>
      </w:r>
      <w:r w:rsidRPr="00E94749">
        <w:rPr>
          <w:rFonts w:cs="Times New Roman"/>
          <w:sz w:val="24"/>
          <w:szCs w:val="24"/>
        </w:rPr>
        <w:t xml:space="preserve">, Oxford University Press, Incorporated, pp. 25- </w:t>
      </w:r>
      <w:r w:rsidRPr="00E94749">
        <w:rPr>
          <w:rFonts w:cs="Times New Roman"/>
          <w:sz w:val="24"/>
          <w:szCs w:val="24"/>
          <w:rtl/>
        </w:rPr>
        <w:t>45</w:t>
      </w:r>
    </w:p>
    <w:p w:rsidR="00821732" w:rsidRPr="006F7017" w:rsidRDefault="00821732" w:rsidP="00C82E45">
      <w:pPr>
        <w:bidi w:val="0"/>
        <w:spacing w:line="360" w:lineRule="auto"/>
        <w:ind w:left="360"/>
        <w:rPr>
          <w:rFonts w:ascii="David" w:hAnsi="David" w:cs="David"/>
          <w:sz w:val="24"/>
          <w:szCs w:val="24"/>
        </w:rPr>
      </w:pPr>
    </w:p>
    <w:p w:rsidR="00821732" w:rsidRPr="00821732" w:rsidRDefault="00B87444" w:rsidP="00D16FA4">
      <w:pPr>
        <w:pStyle w:val="Title"/>
        <w:numPr>
          <w:ilvl w:val="0"/>
          <w:numId w:val="13"/>
        </w:numPr>
        <w:jc w:val="left"/>
        <w:rPr>
          <w:rStyle w:val="Emphasis"/>
          <w:rtl/>
        </w:rPr>
      </w:pPr>
      <w:r>
        <w:rPr>
          <w:rStyle w:val="Emphasis"/>
          <w:rFonts w:hint="cs"/>
          <w:rtl/>
        </w:rPr>
        <w:t>הנעת שינוי פוליטי</w:t>
      </w:r>
      <w:r w:rsidR="00821732">
        <w:rPr>
          <w:rStyle w:val="Emphasis"/>
          <w:rFonts w:hint="cs"/>
          <w:rtl/>
        </w:rPr>
        <w:t>: ראשית המאה העשרים</w:t>
      </w:r>
    </w:p>
    <w:p w:rsidR="00B87444" w:rsidRPr="00E94749" w:rsidRDefault="00B87444" w:rsidP="001F5A71">
      <w:pPr>
        <w:numPr>
          <w:ilvl w:val="0"/>
          <w:numId w:val="4"/>
        </w:numPr>
        <w:bidi w:val="0"/>
        <w:spacing w:line="360" w:lineRule="auto"/>
        <w:rPr>
          <w:rFonts w:cs="David"/>
          <w:sz w:val="24"/>
          <w:szCs w:val="24"/>
        </w:rPr>
      </w:pPr>
      <w:r w:rsidRPr="00E94749">
        <w:rPr>
          <w:rFonts w:cs="David"/>
          <w:sz w:val="24"/>
          <w:szCs w:val="24"/>
        </w:rPr>
        <w:t>Harris J</w:t>
      </w:r>
      <w:r w:rsidR="00E94749" w:rsidRPr="00E94749">
        <w:rPr>
          <w:rFonts w:cs="David"/>
          <w:sz w:val="24"/>
          <w:szCs w:val="24"/>
        </w:rPr>
        <w:t xml:space="preserve">. (1972). </w:t>
      </w:r>
      <w:r w:rsidR="00E94749" w:rsidRPr="00E94749">
        <w:rPr>
          <w:rFonts w:cs="David"/>
          <w:i/>
          <w:iCs/>
          <w:sz w:val="24"/>
          <w:szCs w:val="24"/>
        </w:rPr>
        <w:t xml:space="preserve">Unemployment and Politics: A Study in English Social Policy </w:t>
      </w:r>
      <w:r w:rsidR="00E94749" w:rsidRPr="00E94749">
        <w:rPr>
          <w:rFonts w:cs="David"/>
          <w:sz w:val="24"/>
          <w:szCs w:val="24"/>
        </w:rPr>
        <w:t>1886–1914, London: Clarendon Press, Oxford University Press</w:t>
      </w:r>
      <w:r w:rsidR="002726DD" w:rsidRPr="00E94749">
        <w:rPr>
          <w:rFonts w:cs="David"/>
          <w:sz w:val="24"/>
          <w:szCs w:val="24"/>
        </w:rPr>
        <w:t>, pp.211-272.</w:t>
      </w:r>
    </w:p>
    <w:p w:rsidR="00FA1A7B" w:rsidRDefault="00E94749" w:rsidP="00E94749">
      <w:pPr>
        <w:numPr>
          <w:ilvl w:val="0"/>
          <w:numId w:val="4"/>
        </w:num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Hanagan M.P. (1999). </w:t>
      </w:r>
      <w:r w:rsidR="00FA1A7B" w:rsidRPr="007447CA">
        <w:rPr>
          <w:rFonts w:cs="David"/>
          <w:sz w:val="24"/>
          <w:szCs w:val="24"/>
        </w:rPr>
        <w:t xml:space="preserve">The Right to Work and the Struggle against Unemployment: Britain, 1884-1914, In: Hanagan M.P. &amp; Tilly C. (Eds.), </w:t>
      </w:r>
      <w:r w:rsidR="00FA1A7B" w:rsidRPr="006E6231">
        <w:rPr>
          <w:rFonts w:cs="David"/>
          <w:i/>
          <w:iCs/>
          <w:sz w:val="24"/>
          <w:szCs w:val="24"/>
        </w:rPr>
        <w:t>Extending Citizenship, Reconfiguring States</w:t>
      </w:r>
      <w:r w:rsidR="00FA1A7B" w:rsidRPr="007447CA">
        <w:rPr>
          <w:rFonts w:cs="David"/>
          <w:sz w:val="24"/>
          <w:szCs w:val="24"/>
        </w:rPr>
        <w:t>,</w:t>
      </w:r>
      <w:r w:rsidR="006E6231">
        <w:rPr>
          <w:rFonts w:cs="David"/>
          <w:sz w:val="24"/>
          <w:szCs w:val="24"/>
        </w:rPr>
        <w:t xml:space="preserve"> </w:t>
      </w:r>
      <w:r w:rsidR="006E6231">
        <w:rPr>
          <w:rFonts w:cs="David" w:hint="eastAsia"/>
          <w:sz w:val="24"/>
          <w:szCs w:val="24"/>
        </w:rPr>
        <w:t>Lanham, Md.</w:t>
      </w:r>
      <w:r w:rsidR="006E6231" w:rsidRPr="006E6231">
        <w:rPr>
          <w:rFonts w:cs="David" w:hint="eastAsia"/>
          <w:sz w:val="24"/>
          <w:szCs w:val="24"/>
        </w:rPr>
        <w:t>: Rowman &amp; Littlefield Publishers</w:t>
      </w:r>
      <w:r w:rsidR="006E6231">
        <w:rPr>
          <w:rFonts w:cs="David"/>
          <w:sz w:val="24"/>
          <w:szCs w:val="24"/>
        </w:rPr>
        <w:t>, pp. 123-147</w:t>
      </w:r>
      <w:r w:rsidR="00FA1A7B" w:rsidRPr="007447CA">
        <w:rPr>
          <w:rFonts w:cs="David"/>
          <w:sz w:val="24"/>
          <w:szCs w:val="24"/>
        </w:rPr>
        <w:t>.</w:t>
      </w:r>
    </w:p>
    <w:p w:rsidR="00D16FA4" w:rsidRPr="007447CA" w:rsidRDefault="00D16FA4" w:rsidP="00D16FA4">
      <w:pPr>
        <w:bidi w:val="0"/>
        <w:spacing w:line="360" w:lineRule="auto"/>
        <w:ind w:left="360"/>
        <w:rPr>
          <w:rFonts w:cs="David"/>
          <w:sz w:val="24"/>
          <w:szCs w:val="24"/>
        </w:rPr>
      </w:pPr>
    </w:p>
    <w:p w:rsidR="00D16FA4" w:rsidRPr="00D16FA4" w:rsidRDefault="00D16FA4" w:rsidP="00D16FA4">
      <w:pPr>
        <w:pStyle w:val="Title"/>
        <w:numPr>
          <w:ilvl w:val="0"/>
          <w:numId w:val="13"/>
        </w:numPr>
        <w:jc w:val="left"/>
        <w:rPr>
          <w:rStyle w:val="Emphasis"/>
        </w:rPr>
      </w:pPr>
      <w:r w:rsidRPr="00D16FA4">
        <w:rPr>
          <w:rStyle w:val="Emphasis"/>
          <w:rtl/>
        </w:rPr>
        <w:t>מהפכה</w:t>
      </w:r>
      <w:r>
        <w:rPr>
          <w:rStyle w:val="Emphasis"/>
          <w:rFonts w:hint="cs"/>
          <w:rtl/>
        </w:rPr>
        <w:t xml:space="preserve"> ומלחמה: שנות העשרה</w:t>
      </w:r>
    </w:p>
    <w:p w:rsidR="00130AC3" w:rsidRPr="006E6231" w:rsidRDefault="006E6231" w:rsidP="006E6231">
      <w:pPr>
        <w:numPr>
          <w:ilvl w:val="0"/>
          <w:numId w:val="4"/>
        </w:numPr>
        <w:bidi w:val="0"/>
        <w:spacing w:line="360" w:lineRule="auto"/>
        <w:rPr>
          <w:rFonts w:cs="Times New Roman"/>
          <w:sz w:val="24"/>
          <w:szCs w:val="24"/>
        </w:rPr>
      </w:pPr>
      <w:r w:rsidRPr="006E6231">
        <w:rPr>
          <w:rFonts w:cs="Times New Roman"/>
          <w:sz w:val="24"/>
          <w:szCs w:val="24"/>
        </w:rPr>
        <w:t>Bonnell V.E. (1983).</w:t>
      </w:r>
      <w:r w:rsidR="00130AC3" w:rsidRPr="006E6231">
        <w:rPr>
          <w:rFonts w:cs="Times New Roman"/>
          <w:sz w:val="24"/>
          <w:szCs w:val="24"/>
        </w:rPr>
        <w:t xml:space="preserve"> </w:t>
      </w:r>
      <w:r w:rsidR="00130AC3" w:rsidRPr="006E6231">
        <w:rPr>
          <w:rFonts w:cs="Times New Roman"/>
          <w:i/>
          <w:iCs/>
          <w:sz w:val="24"/>
          <w:szCs w:val="24"/>
        </w:rPr>
        <w:t xml:space="preserve">Roots </w:t>
      </w:r>
      <w:r w:rsidRPr="006E6231">
        <w:rPr>
          <w:rFonts w:cs="Times New Roman"/>
          <w:i/>
          <w:iCs/>
          <w:sz w:val="24"/>
          <w:szCs w:val="24"/>
        </w:rPr>
        <w:t>of Rebellion: Workers</w:t>
      </w:r>
      <w:r w:rsidR="00130AC3" w:rsidRPr="006E6231">
        <w:rPr>
          <w:rFonts w:cs="Times New Roman"/>
          <w:i/>
          <w:iCs/>
          <w:sz w:val="24"/>
          <w:szCs w:val="24"/>
        </w:rPr>
        <w:t>' Politics and Organizations in St. Petersburg and Moscow, 1900-1914</w:t>
      </w:r>
      <w:r w:rsidR="00130AC3" w:rsidRPr="006E6231">
        <w:rPr>
          <w:rFonts w:cs="Times New Roman"/>
          <w:sz w:val="24"/>
          <w:szCs w:val="24"/>
        </w:rPr>
        <w:t>, Berkeley: University of California Press, pp. 1-18.</w:t>
      </w:r>
    </w:p>
    <w:p w:rsidR="00130AC3" w:rsidRPr="006E6231" w:rsidRDefault="006E6231" w:rsidP="006E6231">
      <w:pPr>
        <w:numPr>
          <w:ilvl w:val="0"/>
          <w:numId w:val="4"/>
        </w:num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napToGrid w:val="0"/>
          <w:color w:val="000000"/>
          <w:sz w:val="24"/>
          <w:szCs w:val="24"/>
        </w:rPr>
        <w:t>Downs L.L. (1993).</w:t>
      </w:r>
      <w:r w:rsidR="00130AC3" w:rsidRPr="006E6231">
        <w:rPr>
          <w:rFonts w:cs="Times New Roman"/>
          <w:snapToGrid w:val="0"/>
          <w:color w:val="000000"/>
          <w:sz w:val="24"/>
          <w:szCs w:val="24"/>
        </w:rPr>
        <w:t xml:space="preserve"> Women's strikes and the politics of popular egalitarianism in France, 1916-1918" , In: </w:t>
      </w:r>
      <w:r w:rsidR="00130AC3" w:rsidRPr="006E6231">
        <w:rPr>
          <w:rFonts w:cs="Times New Roman"/>
          <w:sz w:val="24"/>
          <w:szCs w:val="24"/>
        </w:rPr>
        <w:t>Berlanstein L.R. (Ed</w:t>
      </w:r>
      <w:r w:rsidR="00130AC3" w:rsidRPr="006E6231">
        <w:rPr>
          <w:rFonts w:cs="Times New Roman"/>
          <w:i/>
          <w:iCs/>
          <w:sz w:val="24"/>
          <w:szCs w:val="24"/>
        </w:rPr>
        <w:t>.), Rethinking Labor History: Essays on Discourse and Class Analysis</w:t>
      </w:r>
      <w:r>
        <w:rPr>
          <w:rFonts w:cs="Times New Roman"/>
          <w:sz w:val="24"/>
          <w:szCs w:val="24"/>
        </w:rPr>
        <w:t xml:space="preserve">, Urbana &amp; Chicago: </w:t>
      </w:r>
      <w:r w:rsidR="00130AC3" w:rsidRPr="006E6231">
        <w:rPr>
          <w:rFonts w:cs="Times New Roman"/>
          <w:sz w:val="24"/>
          <w:szCs w:val="24"/>
        </w:rPr>
        <w:t>University of Illinois Press, pp. 114-148.</w:t>
      </w:r>
    </w:p>
    <w:p w:rsidR="00216EAF" w:rsidRPr="006E6231" w:rsidRDefault="00216EAF" w:rsidP="00216EAF">
      <w:pPr>
        <w:numPr>
          <w:ilvl w:val="0"/>
          <w:numId w:val="4"/>
        </w:numPr>
        <w:bidi w:val="0"/>
        <w:spacing w:line="360" w:lineRule="auto"/>
        <w:rPr>
          <w:rFonts w:cs="Times New Roman"/>
          <w:sz w:val="24"/>
          <w:szCs w:val="24"/>
        </w:rPr>
      </w:pPr>
      <w:r w:rsidRPr="006E6231">
        <w:rPr>
          <w:rFonts w:cs="Times New Roman"/>
          <w:sz w:val="24"/>
          <w:szCs w:val="24"/>
        </w:rPr>
        <w:t xml:space="preserve">Levitt, M., &amp; Minin, O. (2013). The Satirical Journals of the First Russian Revolution, 1905-1907: A Brief Introduction. </w:t>
      </w:r>
      <w:r w:rsidRPr="006E6231">
        <w:rPr>
          <w:rFonts w:cs="Times New Roman"/>
          <w:i/>
          <w:iCs/>
          <w:sz w:val="24"/>
          <w:szCs w:val="24"/>
        </w:rPr>
        <w:t>Experiment</w:t>
      </w:r>
      <w:r>
        <w:rPr>
          <w:rFonts w:cs="Times New Roman"/>
          <w:sz w:val="24"/>
          <w:szCs w:val="24"/>
        </w:rPr>
        <w:t>, 19(1):</w:t>
      </w:r>
      <w:r w:rsidRPr="006E6231">
        <w:rPr>
          <w:rFonts w:cs="Times New Roman"/>
          <w:sz w:val="24"/>
          <w:szCs w:val="24"/>
        </w:rPr>
        <w:t xml:space="preserve"> 17-23</w:t>
      </w:r>
      <w:r w:rsidRPr="006E6231">
        <w:rPr>
          <w:rFonts w:cs="Times New Roman"/>
          <w:sz w:val="24"/>
          <w:szCs w:val="24"/>
          <w:rtl/>
        </w:rPr>
        <w:t>.</w:t>
      </w:r>
    </w:p>
    <w:p w:rsidR="00130AC3" w:rsidRDefault="00130AC3" w:rsidP="006E6231">
      <w:pPr>
        <w:pStyle w:val="ListParagraph"/>
        <w:numPr>
          <w:ilvl w:val="0"/>
          <w:numId w:val="4"/>
        </w:numPr>
        <w:bidi w:val="0"/>
        <w:spacing w:line="360" w:lineRule="auto"/>
        <w:rPr>
          <w:rFonts w:cs="Times New Roman"/>
          <w:sz w:val="24"/>
          <w:szCs w:val="24"/>
        </w:rPr>
      </w:pPr>
      <w:r w:rsidRPr="006E6231">
        <w:rPr>
          <w:rFonts w:cs="Times New Roman"/>
          <w:sz w:val="24"/>
          <w:szCs w:val="24"/>
        </w:rPr>
        <w:t>Scott J.C.,</w:t>
      </w:r>
      <w:r w:rsidR="006E6231">
        <w:rPr>
          <w:rFonts w:cs="Times New Roman"/>
          <w:sz w:val="24"/>
          <w:szCs w:val="24"/>
        </w:rPr>
        <w:t xml:space="preserve"> (</w:t>
      </w:r>
      <w:r w:rsidR="006E6231" w:rsidRPr="006E6231">
        <w:rPr>
          <w:rFonts w:cs="Times New Roman"/>
          <w:sz w:val="24"/>
          <w:szCs w:val="24"/>
        </w:rPr>
        <w:t>1990</w:t>
      </w:r>
      <w:r w:rsidR="006E6231">
        <w:rPr>
          <w:rFonts w:cs="Times New Roman"/>
          <w:sz w:val="24"/>
          <w:szCs w:val="24"/>
        </w:rPr>
        <w:t>).</w:t>
      </w:r>
      <w:r w:rsidRPr="006E6231">
        <w:rPr>
          <w:rFonts w:cs="Times New Roman"/>
          <w:sz w:val="24"/>
          <w:szCs w:val="24"/>
        </w:rPr>
        <w:t xml:space="preserve"> </w:t>
      </w:r>
      <w:r w:rsidRPr="006E6231">
        <w:rPr>
          <w:rFonts w:cs="Times New Roman"/>
          <w:i/>
          <w:iCs/>
          <w:sz w:val="24"/>
          <w:szCs w:val="24"/>
        </w:rPr>
        <w:t>Domination and the Arts of Resistance: hidden transcripts</w:t>
      </w:r>
      <w:r w:rsidRPr="006E6231">
        <w:rPr>
          <w:rFonts w:cs="Times New Roman"/>
          <w:sz w:val="24"/>
          <w:szCs w:val="24"/>
        </w:rPr>
        <w:t>, New Haven, Conn.: Yale University Press.</w:t>
      </w:r>
    </w:p>
    <w:p w:rsidR="006E6231" w:rsidRPr="006E6231" w:rsidRDefault="006E6231" w:rsidP="006E6231">
      <w:pPr>
        <w:pStyle w:val="ListParagraph"/>
        <w:bidi w:val="0"/>
        <w:spacing w:line="360" w:lineRule="auto"/>
        <w:ind w:left="360"/>
        <w:rPr>
          <w:rFonts w:cs="Times New Roman"/>
          <w:sz w:val="24"/>
          <w:szCs w:val="24"/>
        </w:rPr>
      </w:pPr>
    </w:p>
    <w:p w:rsidR="00D16FA4" w:rsidRDefault="003A1F73" w:rsidP="003A1F73">
      <w:pPr>
        <w:pStyle w:val="Title"/>
        <w:numPr>
          <w:ilvl w:val="0"/>
          <w:numId w:val="13"/>
        </w:numPr>
        <w:jc w:val="left"/>
        <w:rPr>
          <w:rStyle w:val="Emphasis"/>
        </w:rPr>
      </w:pPr>
      <w:r>
        <w:rPr>
          <w:rStyle w:val="Emphasis"/>
          <w:rFonts w:hint="cs"/>
          <w:rtl/>
        </w:rPr>
        <w:t>מתודה</w:t>
      </w:r>
    </w:p>
    <w:p w:rsidR="003A1F73" w:rsidRPr="002726DD" w:rsidRDefault="006E6231" w:rsidP="006E6231">
      <w:pPr>
        <w:numPr>
          <w:ilvl w:val="0"/>
          <w:numId w:val="4"/>
        </w:numPr>
        <w:bidi w:val="0"/>
        <w:spacing w:line="360" w:lineRule="auto"/>
        <w:rPr>
          <w:rFonts w:cs="David"/>
          <w:i/>
          <w:iCs/>
          <w:sz w:val="24"/>
          <w:szCs w:val="24"/>
        </w:rPr>
      </w:pPr>
      <w:r>
        <w:rPr>
          <w:rFonts w:cs="David"/>
          <w:snapToGrid w:val="0"/>
          <w:sz w:val="24"/>
          <w:szCs w:val="24"/>
        </w:rPr>
        <w:t>Bar-On Maman, S.</w:t>
      </w:r>
      <w:r w:rsidR="00C82E45">
        <w:rPr>
          <w:rFonts w:cs="David"/>
          <w:snapToGrid w:val="0"/>
          <w:sz w:val="24"/>
          <w:szCs w:val="24"/>
        </w:rPr>
        <w:t xml:space="preserve"> </w:t>
      </w:r>
      <w:r>
        <w:rPr>
          <w:rFonts w:cs="David"/>
          <w:snapToGrid w:val="0"/>
          <w:sz w:val="24"/>
          <w:szCs w:val="24"/>
        </w:rPr>
        <w:t>(</w:t>
      </w:r>
      <w:r w:rsidR="00C82E45">
        <w:rPr>
          <w:rFonts w:cs="David"/>
          <w:snapToGrid w:val="0"/>
          <w:sz w:val="24"/>
          <w:szCs w:val="24"/>
        </w:rPr>
        <w:t>2018</w:t>
      </w:r>
      <w:r>
        <w:rPr>
          <w:rFonts w:cs="David"/>
          <w:snapToGrid w:val="0"/>
          <w:sz w:val="24"/>
          <w:szCs w:val="24"/>
        </w:rPr>
        <w:t>)</w:t>
      </w:r>
      <w:r w:rsidR="00C82E45">
        <w:rPr>
          <w:rFonts w:cs="David"/>
          <w:snapToGrid w:val="0"/>
          <w:sz w:val="24"/>
          <w:szCs w:val="24"/>
        </w:rPr>
        <w:t>.</w:t>
      </w:r>
      <w:r>
        <w:rPr>
          <w:rFonts w:cs="David"/>
          <w:snapToGrid w:val="0"/>
          <w:sz w:val="24"/>
          <w:szCs w:val="24"/>
        </w:rPr>
        <w:t xml:space="preserve"> </w:t>
      </w:r>
      <w:r w:rsidR="00C82E45" w:rsidRPr="008B770B">
        <w:rPr>
          <w:rFonts w:cs="David"/>
          <w:snapToGrid w:val="0"/>
          <w:sz w:val="24"/>
          <w:szCs w:val="24"/>
        </w:rPr>
        <w:t>Spatially Strong: Dead Sea Works Ltd. and the Building Up of the Southeast of Israel, 1948-1964</w:t>
      </w:r>
      <w:r w:rsidR="00C82E45">
        <w:rPr>
          <w:rFonts w:cs="David"/>
          <w:snapToGrid w:val="0"/>
          <w:sz w:val="24"/>
          <w:szCs w:val="24"/>
        </w:rPr>
        <w:t xml:space="preserve">. </w:t>
      </w:r>
      <w:r w:rsidR="00C82E45" w:rsidRPr="006E6231">
        <w:rPr>
          <w:rFonts w:cs="David"/>
          <w:i/>
          <w:iCs/>
          <w:snapToGrid w:val="0"/>
          <w:sz w:val="24"/>
          <w:szCs w:val="24"/>
        </w:rPr>
        <w:t>Labor History</w:t>
      </w:r>
      <w:r w:rsidR="00C82E45">
        <w:rPr>
          <w:rFonts w:cs="David"/>
          <w:snapToGrid w:val="0"/>
          <w:sz w:val="24"/>
          <w:szCs w:val="24"/>
        </w:rPr>
        <w:t xml:space="preserve">, </w:t>
      </w:r>
      <w:r w:rsidR="00C82E45">
        <w:rPr>
          <w:sz w:val="24"/>
          <w:szCs w:val="24"/>
        </w:rPr>
        <w:t>59(4): 437-453</w:t>
      </w:r>
      <w:r w:rsidR="00C82E45">
        <w:rPr>
          <w:rFonts w:cs="David"/>
          <w:snapToGrid w:val="0"/>
          <w:sz w:val="24"/>
          <w:szCs w:val="24"/>
        </w:rPr>
        <w:t>.</w:t>
      </w:r>
    </w:p>
    <w:p w:rsidR="002726DD" w:rsidRPr="002726DD" w:rsidRDefault="002726DD" w:rsidP="002726DD">
      <w:pPr>
        <w:numPr>
          <w:ilvl w:val="0"/>
          <w:numId w:val="4"/>
        </w:numPr>
        <w:bidi w:val="0"/>
        <w:spacing w:line="360" w:lineRule="auto"/>
        <w:rPr>
          <w:rFonts w:cs="David"/>
          <w:snapToGrid w:val="0"/>
          <w:sz w:val="24"/>
          <w:szCs w:val="24"/>
        </w:rPr>
      </w:pPr>
      <w:r w:rsidRPr="002726DD">
        <w:rPr>
          <w:rFonts w:cs="David"/>
          <w:snapToGrid w:val="0"/>
          <w:sz w:val="24"/>
          <w:szCs w:val="24"/>
        </w:rPr>
        <w:t>De Vries, D. (2015). </w:t>
      </w:r>
      <w:r w:rsidRPr="006E6231">
        <w:rPr>
          <w:rFonts w:cs="David"/>
          <w:i/>
          <w:iCs/>
          <w:snapToGrid w:val="0"/>
          <w:sz w:val="24"/>
          <w:szCs w:val="24"/>
        </w:rPr>
        <w:t>Strike Action and Nation Building: Labor Unrest in Palestine/Israel, 1899-1951</w:t>
      </w:r>
      <w:r w:rsidRPr="002726DD">
        <w:rPr>
          <w:rFonts w:cs="David"/>
          <w:snapToGrid w:val="0"/>
          <w:sz w:val="24"/>
          <w:szCs w:val="24"/>
        </w:rPr>
        <w:t xml:space="preserve">. </w:t>
      </w:r>
      <w:r w:rsidR="001F5A71">
        <w:rPr>
          <w:rFonts w:cs="David"/>
          <w:snapToGrid w:val="0"/>
          <w:sz w:val="24"/>
          <w:szCs w:val="24"/>
        </w:rPr>
        <w:t xml:space="preserve">New York: </w:t>
      </w:r>
      <w:r w:rsidRPr="002726DD">
        <w:rPr>
          <w:rFonts w:cs="David"/>
          <w:snapToGrid w:val="0"/>
          <w:sz w:val="24"/>
          <w:szCs w:val="24"/>
        </w:rPr>
        <w:t>Berghahn Books.</w:t>
      </w:r>
      <w:r w:rsidRPr="002726DD">
        <w:rPr>
          <w:rFonts w:cs="David"/>
          <w:snapToGrid w:val="0"/>
          <w:sz w:val="24"/>
          <w:szCs w:val="24"/>
          <w:rtl/>
        </w:rPr>
        <w:t>‏</w:t>
      </w:r>
    </w:p>
    <w:p w:rsidR="00B87444" w:rsidRPr="00B87444" w:rsidRDefault="00B87444" w:rsidP="00D16FA4">
      <w:pPr>
        <w:pStyle w:val="Title"/>
        <w:numPr>
          <w:ilvl w:val="0"/>
          <w:numId w:val="13"/>
        </w:numPr>
        <w:jc w:val="left"/>
        <w:rPr>
          <w:rStyle w:val="Emphasis"/>
        </w:rPr>
      </w:pPr>
      <w:r>
        <w:rPr>
          <w:rStyle w:val="Emphasis"/>
          <w:rFonts w:hint="cs"/>
          <w:rtl/>
        </w:rPr>
        <w:t>ארגון ומשמעת</w:t>
      </w:r>
      <w:r w:rsidR="00FA1A7B">
        <w:rPr>
          <w:rStyle w:val="Emphasis"/>
        </w:rPr>
        <w:t xml:space="preserve"> </w:t>
      </w:r>
      <w:r w:rsidR="00FA1A7B">
        <w:rPr>
          <w:rStyle w:val="Emphasis"/>
          <w:rFonts w:hint="cs"/>
          <w:rtl/>
        </w:rPr>
        <w:t xml:space="preserve"> בשעת משבר</w:t>
      </w:r>
      <w:r>
        <w:rPr>
          <w:rStyle w:val="Emphasis"/>
          <w:rFonts w:hint="cs"/>
          <w:rtl/>
        </w:rPr>
        <w:t>: שנות ה-1920</w:t>
      </w:r>
    </w:p>
    <w:p w:rsidR="00961FF9" w:rsidRDefault="00961FF9" w:rsidP="00961FF9">
      <w:pPr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D16FA4">
        <w:rPr>
          <w:rFonts w:ascii="David" w:hAnsi="David" w:cs="David"/>
          <w:sz w:val="24"/>
          <w:szCs w:val="24"/>
          <w:rtl/>
        </w:rPr>
        <w:t>סטיינבק, ג</w:t>
      </w:r>
      <w:r>
        <w:rPr>
          <w:rFonts w:ascii="David" w:hAnsi="David" w:cs="David" w:hint="cs"/>
          <w:sz w:val="24"/>
          <w:szCs w:val="24"/>
          <w:rtl/>
        </w:rPr>
        <w:t>'.</w:t>
      </w:r>
      <w:r w:rsidRPr="00D16FA4">
        <w:rPr>
          <w:rFonts w:ascii="David" w:hAnsi="David" w:cs="David"/>
          <w:sz w:val="24"/>
          <w:szCs w:val="24"/>
          <w:rtl/>
        </w:rPr>
        <w:t xml:space="preserve"> (2010). </w:t>
      </w:r>
      <w:r w:rsidRPr="00961FF9">
        <w:rPr>
          <w:rFonts w:ascii="David" w:hAnsi="David" w:cs="David"/>
          <w:i/>
          <w:iCs/>
          <w:sz w:val="24"/>
          <w:szCs w:val="24"/>
          <w:rtl/>
        </w:rPr>
        <w:t>ענבי זעם</w:t>
      </w:r>
      <w:r w:rsidRPr="00D16FA4">
        <w:rPr>
          <w:rFonts w:ascii="David" w:hAnsi="David" w:cs="David"/>
          <w:sz w:val="24"/>
          <w:szCs w:val="24"/>
          <w:rtl/>
        </w:rPr>
        <w:t>. תל-אביב: ידיעות אחרונות</w:t>
      </w:r>
      <w:r w:rsidRPr="00D16FA4">
        <w:rPr>
          <w:rFonts w:ascii="David" w:hAnsi="David" w:cs="David"/>
          <w:sz w:val="24"/>
          <w:szCs w:val="24"/>
        </w:rPr>
        <w:t>.</w:t>
      </w:r>
    </w:p>
    <w:p w:rsidR="0016122A" w:rsidRPr="001F5A71" w:rsidRDefault="001F5A71" w:rsidP="00961FF9">
      <w:pPr>
        <w:numPr>
          <w:ilvl w:val="0"/>
          <w:numId w:val="4"/>
        </w:numPr>
        <w:bidi w:val="0"/>
        <w:spacing w:line="360" w:lineRule="auto"/>
        <w:rPr>
          <w:rFonts w:cs="Times New Roman"/>
          <w:sz w:val="24"/>
          <w:szCs w:val="24"/>
        </w:rPr>
      </w:pPr>
      <w:r w:rsidRPr="001F5A71">
        <w:rPr>
          <w:rFonts w:cs="Times New Roman"/>
          <w:sz w:val="24"/>
          <w:szCs w:val="24"/>
        </w:rPr>
        <w:t xml:space="preserve">De Vries D. (2002). </w:t>
      </w:r>
      <w:r w:rsidR="0016122A" w:rsidRPr="001F5A71">
        <w:rPr>
          <w:rFonts w:cs="Times New Roman"/>
          <w:sz w:val="24"/>
          <w:szCs w:val="24"/>
        </w:rPr>
        <w:t xml:space="preserve">Drawing the repertoire of collective action: Labour Zionism </w:t>
      </w:r>
      <w:r w:rsidRPr="001F5A71">
        <w:rPr>
          <w:rFonts w:cs="Times New Roman"/>
          <w:sz w:val="24"/>
          <w:szCs w:val="24"/>
        </w:rPr>
        <w:t>and strikes in 1920s Palestine.</w:t>
      </w:r>
      <w:r w:rsidR="0016122A" w:rsidRPr="001F5A71">
        <w:rPr>
          <w:rFonts w:cs="Times New Roman"/>
          <w:sz w:val="24"/>
          <w:szCs w:val="24"/>
        </w:rPr>
        <w:t xml:space="preserve"> </w:t>
      </w:r>
      <w:r w:rsidR="0016122A" w:rsidRPr="001F5A71">
        <w:rPr>
          <w:rFonts w:cs="Times New Roman"/>
          <w:i/>
          <w:iCs/>
          <w:sz w:val="24"/>
          <w:szCs w:val="24"/>
        </w:rPr>
        <w:t>Middle Eastern Studies</w:t>
      </w:r>
      <w:r w:rsidR="0016122A" w:rsidRPr="001F5A71">
        <w:rPr>
          <w:rFonts w:cs="Times New Roman"/>
          <w:sz w:val="24"/>
          <w:szCs w:val="24"/>
        </w:rPr>
        <w:t>, 38[3]: 93-122.</w:t>
      </w:r>
    </w:p>
    <w:p w:rsidR="0016122A" w:rsidRPr="006F7017" w:rsidRDefault="0016122A" w:rsidP="00D16FA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87444" w:rsidRDefault="00B87444" w:rsidP="00CC0CB8">
      <w:pPr>
        <w:pStyle w:val="Title"/>
        <w:numPr>
          <w:ilvl w:val="0"/>
          <w:numId w:val="13"/>
        </w:numPr>
        <w:jc w:val="left"/>
        <w:rPr>
          <w:rStyle w:val="Emphasis"/>
        </w:rPr>
      </w:pPr>
      <w:r>
        <w:rPr>
          <w:rStyle w:val="Emphasis"/>
          <w:rFonts w:hint="cs"/>
          <w:rtl/>
        </w:rPr>
        <w:t>לאומיות ודה-קולוניזציה</w:t>
      </w:r>
      <w:r w:rsidR="00CC0CB8">
        <w:rPr>
          <w:rStyle w:val="Emphasis"/>
          <w:rFonts w:hint="cs"/>
          <w:rtl/>
        </w:rPr>
        <w:t>: שנות השלושים והארבעים</w:t>
      </w:r>
    </w:p>
    <w:p w:rsidR="00CC0CB8" w:rsidRDefault="00CC0CB8" w:rsidP="00961FF9">
      <w:pPr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CC0CB8">
        <w:rPr>
          <w:rFonts w:ascii="Arial" w:hAnsi="Arial" w:cs="David" w:hint="cs"/>
          <w:sz w:val="24"/>
          <w:szCs w:val="24"/>
          <w:rtl/>
        </w:rPr>
        <w:t xml:space="preserve">יזבק מ., </w:t>
      </w:r>
      <w:r w:rsidR="00961FF9">
        <w:rPr>
          <w:rFonts w:ascii="Arial" w:hAnsi="Arial" w:cs="David" w:hint="cs"/>
          <w:sz w:val="24"/>
          <w:szCs w:val="24"/>
          <w:rtl/>
        </w:rPr>
        <w:t>(</w:t>
      </w:r>
      <w:r w:rsidRPr="00CC0CB8">
        <w:rPr>
          <w:rFonts w:ascii="Arial" w:hAnsi="Arial" w:cs="David" w:hint="cs"/>
          <w:sz w:val="24"/>
          <w:szCs w:val="24"/>
          <w:rtl/>
        </w:rPr>
        <w:t>2000</w:t>
      </w:r>
      <w:r w:rsidR="00961FF9">
        <w:rPr>
          <w:rFonts w:ascii="Arial" w:hAnsi="Arial" w:cs="David" w:hint="cs"/>
          <w:sz w:val="24"/>
          <w:szCs w:val="24"/>
          <w:rtl/>
        </w:rPr>
        <w:t xml:space="preserve">). </w:t>
      </w:r>
      <w:r w:rsidRPr="00CC0CB8">
        <w:rPr>
          <w:rFonts w:ascii="Arial" w:hAnsi="Arial" w:cs="David"/>
          <w:sz w:val="24"/>
          <w:szCs w:val="24"/>
          <w:rtl/>
        </w:rPr>
        <w:t>מפלאחים למורדים</w:t>
      </w:r>
      <w:r w:rsidRPr="00CC0CB8">
        <w:rPr>
          <w:rFonts w:ascii="Arial" w:hAnsi="Arial" w:cs="David" w:hint="cs"/>
          <w:sz w:val="24"/>
          <w:szCs w:val="24"/>
          <w:rtl/>
        </w:rPr>
        <w:t>:</w:t>
      </w:r>
      <w:r w:rsidRPr="00CC0CB8">
        <w:rPr>
          <w:rFonts w:ascii="Arial" w:hAnsi="Arial" w:cs="David"/>
          <w:sz w:val="24"/>
          <w:szCs w:val="24"/>
          <w:rtl/>
        </w:rPr>
        <w:t> גורמים כלכליים להתפרצות המרד הערבי ב- 1</w:t>
      </w:r>
      <w:r w:rsidR="00961FF9">
        <w:rPr>
          <w:rFonts w:ascii="Arial" w:hAnsi="Arial" w:cs="David" w:hint="cs"/>
          <w:sz w:val="24"/>
          <w:szCs w:val="24"/>
          <w:rtl/>
        </w:rPr>
        <w:t>936.</w:t>
      </w:r>
      <w:r w:rsidRPr="00CC0CB8">
        <w:rPr>
          <w:rFonts w:ascii="Arial" w:hAnsi="Arial" w:cs="David" w:hint="cs"/>
          <w:sz w:val="24"/>
          <w:szCs w:val="24"/>
          <w:rtl/>
        </w:rPr>
        <w:t xml:space="preserve"> </w:t>
      </w:r>
      <w:r w:rsidRPr="00961FF9">
        <w:rPr>
          <w:rFonts w:ascii="Arial" w:hAnsi="Arial" w:cs="David" w:hint="cs"/>
          <w:i/>
          <w:iCs/>
          <w:sz w:val="24"/>
          <w:szCs w:val="24"/>
          <w:rtl/>
        </w:rPr>
        <w:t>ה</w:t>
      </w:r>
      <w:r w:rsidRPr="00961FF9">
        <w:rPr>
          <w:rFonts w:ascii="Arial" w:hAnsi="Arial" w:cs="David"/>
          <w:i/>
          <w:iCs/>
          <w:sz w:val="24"/>
          <w:szCs w:val="24"/>
          <w:rtl/>
        </w:rPr>
        <w:t>ציונות</w:t>
      </w:r>
      <w:r w:rsidRPr="00CC0CB8">
        <w:rPr>
          <w:rFonts w:ascii="Arial" w:hAnsi="Arial" w:cs="David" w:hint="cs"/>
          <w:sz w:val="24"/>
          <w:szCs w:val="24"/>
          <w:rtl/>
        </w:rPr>
        <w:t xml:space="preserve">, </w:t>
      </w:r>
      <w:r w:rsidRPr="00CC0CB8">
        <w:rPr>
          <w:rFonts w:ascii="Arial" w:hAnsi="Arial" w:cs="David"/>
          <w:sz w:val="24"/>
          <w:szCs w:val="24"/>
          <w:rtl/>
        </w:rPr>
        <w:t>כ</w:t>
      </w:r>
      <w:r w:rsidRPr="00CC0CB8">
        <w:rPr>
          <w:rFonts w:ascii="Arial" w:hAnsi="Arial" w:cs="David" w:hint="cs"/>
          <w:sz w:val="24"/>
          <w:szCs w:val="24"/>
          <w:rtl/>
        </w:rPr>
        <w:t>"</w:t>
      </w:r>
      <w:r w:rsidRPr="00CC0CB8">
        <w:rPr>
          <w:rFonts w:ascii="Arial" w:hAnsi="Arial" w:cs="David"/>
          <w:sz w:val="24"/>
          <w:szCs w:val="24"/>
          <w:rtl/>
        </w:rPr>
        <w:t>ב</w:t>
      </w:r>
      <w:r w:rsidR="00961FF9">
        <w:rPr>
          <w:rFonts w:ascii="Arial" w:hAnsi="Arial" w:cs="David" w:hint="cs"/>
          <w:sz w:val="24"/>
          <w:szCs w:val="24"/>
          <w:rtl/>
        </w:rPr>
        <w:t>:</w:t>
      </w:r>
      <w:r w:rsidRPr="00CC0CB8">
        <w:rPr>
          <w:rFonts w:ascii="Arial" w:hAnsi="Arial" w:cs="David"/>
          <w:sz w:val="24"/>
          <w:szCs w:val="24"/>
          <w:rtl/>
        </w:rPr>
        <w:t xml:space="preserve"> 185-</w:t>
      </w:r>
      <w:r w:rsidRPr="00CC0CB8">
        <w:rPr>
          <w:rFonts w:ascii="Arial" w:hAnsi="Arial" w:cs="David" w:hint="cs"/>
          <w:sz w:val="24"/>
          <w:szCs w:val="24"/>
          <w:rtl/>
        </w:rPr>
        <w:t xml:space="preserve"> </w:t>
      </w:r>
      <w:r w:rsidRPr="00CC0CB8">
        <w:rPr>
          <w:rFonts w:ascii="Arial" w:hAnsi="Arial" w:cs="David"/>
          <w:sz w:val="24"/>
          <w:szCs w:val="24"/>
          <w:rtl/>
        </w:rPr>
        <w:t>205</w:t>
      </w:r>
      <w:r w:rsidRPr="00BD1B15">
        <w:rPr>
          <w:rFonts w:ascii="Arial" w:hAnsi="Arial" w:cs="David" w:hint="cs"/>
          <w:sz w:val="24"/>
          <w:szCs w:val="24"/>
          <w:rtl/>
        </w:rPr>
        <w:t>.</w:t>
      </w:r>
    </w:p>
    <w:p w:rsidR="00D16FA4" w:rsidRPr="00961FF9" w:rsidRDefault="00961FF9" w:rsidP="00961FF9">
      <w:pPr>
        <w:numPr>
          <w:ilvl w:val="0"/>
          <w:numId w:val="4"/>
        </w:num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Chakrabarty D. (1989/2000). </w:t>
      </w:r>
      <w:r w:rsidR="00D16FA4" w:rsidRPr="00961FF9">
        <w:rPr>
          <w:rFonts w:cs="Times New Roman"/>
          <w:i/>
          <w:iCs/>
          <w:sz w:val="24"/>
          <w:szCs w:val="24"/>
        </w:rPr>
        <w:t>Rethinking Working Class History: Bengal 1890 to 1940</w:t>
      </w:r>
      <w:r w:rsidR="00D16FA4" w:rsidRPr="00961FF9">
        <w:rPr>
          <w:rFonts w:cs="Times New Roman"/>
          <w:sz w:val="24"/>
          <w:szCs w:val="24"/>
        </w:rPr>
        <w:t xml:space="preserve">, </w:t>
      </w:r>
      <w:bookmarkStart w:id="1" w:name="RANGE!E32"/>
      <w:r w:rsidR="00D16FA4" w:rsidRPr="00961FF9">
        <w:rPr>
          <w:rFonts w:cs="Times New Roman"/>
          <w:sz w:val="24"/>
          <w:szCs w:val="24"/>
        </w:rPr>
        <w:t>Princeton</w:t>
      </w:r>
      <w:bookmarkEnd w:id="1"/>
      <w:r w:rsidR="00D16FA4" w:rsidRPr="00961FF9">
        <w:rPr>
          <w:rFonts w:cs="Times New Roman"/>
          <w:sz w:val="24"/>
          <w:szCs w:val="24"/>
        </w:rPr>
        <w:t>: Princeton University Press, pp. 65-115.</w:t>
      </w:r>
    </w:p>
    <w:p w:rsidR="00F04B8F" w:rsidRPr="00961FF9" w:rsidRDefault="00B249DD" w:rsidP="00B249DD">
      <w:pPr>
        <w:pStyle w:val="BodyText"/>
        <w:numPr>
          <w:ilvl w:val="0"/>
          <w:numId w:val="4"/>
        </w:numPr>
        <w:rPr>
          <w:i/>
          <w:iCs/>
        </w:rPr>
      </w:pPr>
      <w:r w:rsidRPr="00961FF9">
        <w:t>Cooper, F. (2016). </w:t>
      </w:r>
      <w:r w:rsidRPr="00961FF9">
        <w:rPr>
          <w:i/>
          <w:iCs/>
        </w:rPr>
        <w:t>Citizenship between empire and nation: remaking France and French Africa, 1945–1960</w:t>
      </w:r>
      <w:r w:rsidRPr="00961FF9">
        <w:t>.</w:t>
      </w:r>
      <w:r w:rsidR="00961FF9">
        <w:rPr>
          <w:rFonts w:hint="cs"/>
          <w:rtl/>
        </w:rPr>
        <w:t xml:space="preserve"> </w:t>
      </w:r>
      <w:r w:rsidR="00961FF9" w:rsidRPr="00961FF9">
        <w:t>Princeton</w:t>
      </w:r>
      <w:r w:rsidR="00961FF9">
        <w:t>:</w:t>
      </w:r>
      <w:r w:rsidRPr="00961FF9">
        <w:t xml:space="preserve"> Princeton University Press, pp. 165-213.</w:t>
      </w:r>
    </w:p>
    <w:p w:rsidR="00CC0CB8" w:rsidRPr="00961FF9" w:rsidRDefault="00330744" w:rsidP="00330744">
      <w:pPr>
        <w:numPr>
          <w:ilvl w:val="0"/>
          <w:numId w:val="4"/>
        </w:numPr>
        <w:bidi w:val="0"/>
        <w:spacing w:line="360" w:lineRule="auto"/>
        <w:rPr>
          <w:rFonts w:cs="Times New Roman"/>
          <w:i/>
          <w:iCs/>
        </w:rPr>
      </w:pPr>
      <w:r>
        <w:rPr>
          <w:rFonts w:cs="Times New Roman"/>
          <w:sz w:val="24"/>
          <w:szCs w:val="24"/>
          <w:lang w:val="en-GB"/>
        </w:rPr>
        <w:t xml:space="preserve">De Vries, D., &amp; Bar-On S. (2011). </w:t>
      </w:r>
      <w:r w:rsidR="00CC0CB8" w:rsidRPr="00961FF9">
        <w:rPr>
          <w:rFonts w:cs="Times New Roman"/>
          <w:sz w:val="24"/>
          <w:szCs w:val="24"/>
          <w:lang w:val="en-GB"/>
        </w:rPr>
        <w:t>Unemployment and Politiciza</w:t>
      </w:r>
      <w:r>
        <w:rPr>
          <w:rFonts w:cs="Times New Roman"/>
          <w:sz w:val="24"/>
          <w:szCs w:val="24"/>
          <w:lang w:val="en-GB"/>
        </w:rPr>
        <w:t>tion in British-Ruled Palestine</w:t>
      </w:r>
      <w:r w:rsidR="00CC0CB8" w:rsidRPr="00961FF9">
        <w:rPr>
          <w:rFonts w:cs="Times New Roman"/>
          <w:sz w:val="24"/>
          <w:szCs w:val="24"/>
          <w:lang w:val="en-GB"/>
        </w:rPr>
        <w:t xml:space="preserve">. In: M. Perry and M. Reiss (Eds.), </w:t>
      </w:r>
      <w:r w:rsidR="00CC0CB8" w:rsidRPr="00961FF9">
        <w:rPr>
          <w:rFonts w:cs="Times New Roman"/>
          <w:i/>
          <w:iCs/>
          <w:sz w:val="24"/>
          <w:szCs w:val="24"/>
          <w:lang w:val="en-GB"/>
        </w:rPr>
        <w:t>Unemployment and Protest: New Perspectives on Two Centuries of Contention</w:t>
      </w:r>
      <w:r w:rsidR="00CC0CB8" w:rsidRPr="00961FF9">
        <w:rPr>
          <w:rFonts w:cs="Times New Roman"/>
          <w:sz w:val="24"/>
          <w:szCs w:val="24"/>
          <w:lang w:val="en-GB"/>
        </w:rPr>
        <w:t xml:space="preserve">, </w:t>
      </w:r>
      <w:r w:rsidR="00961FF9">
        <w:rPr>
          <w:rFonts w:cs="Times New Roman"/>
          <w:sz w:val="24"/>
          <w:szCs w:val="24"/>
          <w:lang w:val="en-GB"/>
        </w:rPr>
        <w:t xml:space="preserve">Oxford: </w:t>
      </w:r>
      <w:r w:rsidR="00CC0CB8" w:rsidRPr="00961FF9">
        <w:rPr>
          <w:rFonts w:cs="Times New Roman"/>
          <w:sz w:val="24"/>
          <w:szCs w:val="24"/>
          <w:lang w:val="en-GB"/>
        </w:rPr>
        <w:t>Oxford University Press</w:t>
      </w:r>
      <w:r>
        <w:rPr>
          <w:rFonts w:cs="Times New Roman"/>
          <w:sz w:val="24"/>
          <w:szCs w:val="24"/>
          <w:lang w:val="en-GB"/>
        </w:rPr>
        <w:t xml:space="preserve">, </w:t>
      </w:r>
      <w:r w:rsidR="00FF701B" w:rsidRPr="00961FF9">
        <w:rPr>
          <w:rFonts w:cs="Times New Roman"/>
          <w:sz w:val="24"/>
          <w:szCs w:val="24"/>
        </w:rPr>
        <w:t>pp</w:t>
      </w:r>
      <w:r>
        <w:rPr>
          <w:rFonts w:cs="Times New Roman"/>
          <w:sz w:val="24"/>
          <w:szCs w:val="24"/>
        </w:rPr>
        <w:t>. 199-219.</w:t>
      </w:r>
    </w:p>
    <w:p w:rsidR="00FF701B" w:rsidRPr="00FF701B" w:rsidRDefault="00FF701B" w:rsidP="00FF701B">
      <w:pPr>
        <w:bidi w:val="0"/>
        <w:spacing w:line="360" w:lineRule="auto"/>
        <w:rPr>
          <w:i/>
          <w:iCs/>
        </w:rPr>
      </w:pPr>
    </w:p>
    <w:p w:rsidR="0032746E" w:rsidRDefault="00C82E45" w:rsidP="00D16FA4">
      <w:pPr>
        <w:pStyle w:val="Title"/>
        <w:numPr>
          <w:ilvl w:val="0"/>
          <w:numId w:val="13"/>
        </w:numPr>
        <w:jc w:val="left"/>
        <w:rPr>
          <w:rStyle w:val="Emphasis"/>
        </w:rPr>
      </w:pPr>
      <w:r>
        <w:rPr>
          <w:rStyle w:val="Emphasis"/>
          <w:rFonts w:hint="cs"/>
          <w:rtl/>
        </w:rPr>
        <w:t>זהויות שזורות (מגדר, מקום, אתניות וגזע)</w:t>
      </w:r>
      <w:r w:rsidR="00CC0CB8">
        <w:rPr>
          <w:rStyle w:val="Emphasis"/>
          <w:rFonts w:hint="cs"/>
          <w:rtl/>
        </w:rPr>
        <w:t>: שנות ה-1950 וה-1960</w:t>
      </w:r>
    </w:p>
    <w:p w:rsidR="00CC0CB8" w:rsidRPr="00CC0CB8" w:rsidRDefault="00330744" w:rsidP="00330744">
      <w:pPr>
        <w:numPr>
          <w:ilvl w:val="0"/>
          <w:numId w:val="4"/>
        </w:num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אסנת ד.</w:t>
      </w:r>
      <w:r>
        <w:rPr>
          <w:rFonts w:ascii="David" w:hAnsi="David" w:cs="David" w:hint="cs"/>
          <w:sz w:val="24"/>
          <w:szCs w:val="24"/>
          <w:rtl/>
        </w:rPr>
        <w:t xml:space="preserve"> (2004). </w:t>
      </w:r>
      <w:r w:rsidR="00CC0CB8" w:rsidRPr="006F7017">
        <w:rPr>
          <w:rFonts w:ascii="David" w:hAnsi="David" w:cs="David"/>
          <w:noProof/>
          <w:color w:val="212063"/>
          <w:sz w:val="24"/>
          <w:szCs w:val="24"/>
        </w:rPr>
        <w:drawing>
          <wp:inline distT="0" distB="0" distL="0" distR="0" wp14:anchorId="1B4711FE" wp14:editId="1089F566">
            <wp:extent cx="6350" cy="6350"/>
            <wp:effectExtent l="0" t="0" r="0" b="0"/>
            <wp:docPr id="1" name="Picture 1" descr="http://aleph500.huji.ac.il/malmad/general/fill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ph500.huji.ac.il/malmad/general/filler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CB8" w:rsidRPr="00330744">
        <w:rPr>
          <w:rFonts w:ascii="David" w:hAnsi="David" w:cs="David"/>
          <w:i/>
          <w:iCs/>
          <w:sz w:val="24"/>
          <w:szCs w:val="24"/>
          <w:rtl/>
        </w:rPr>
        <w:t>מחייטים</w:t>
      </w:r>
      <w:r w:rsidR="00CC0CB8" w:rsidRPr="00330744">
        <w:rPr>
          <w:rFonts w:ascii="David" w:hAnsi="David" w:cs="David"/>
          <w:i/>
          <w:iCs/>
          <w:sz w:val="24"/>
          <w:szCs w:val="24"/>
        </w:rPr>
        <w:t xml:space="preserve"> </w:t>
      </w:r>
      <w:r w:rsidR="00CC0CB8" w:rsidRPr="00330744">
        <w:rPr>
          <w:rFonts w:ascii="David" w:hAnsi="David" w:cs="David"/>
          <w:i/>
          <w:iCs/>
          <w:sz w:val="24"/>
          <w:szCs w:val="24"/>
          <w:rtl/>
        </w:rPr>
        <w:t>וסנדלרים בנינו פה נמל : פועליות, לאומיות ואתניות בקרב פועלי נמל אשדוד, 1967-1961</w:t>
      </w:r>
      <w:r>
        <w:rPr>
          <w:rFonts w:ascii="David" w:hAnsi="David" w:cs="David" w:hint="cs"/>
          <w:sz w:val="24"/>
          <w:szCs w:val="24"/>
          <w:rtl/>
        </w:rPr>
        <w:t>.</w:t>
      </w:r>
      <w:r w:rsidR="00CC0CB8" w:rsidRPr="00CC0CB8">
        <w:rPr>
          <w:rFonts w:ascii="David" w:hAnsi="David" w:cs="David"/>
          <w:sz w:val="24"/>
          <w:szCs w:val="24"/>
          <w:rtl/>
        </w:rPr>
        <w:t xml:space="preserve"> חיבור לשם קבלת תואר דוקטור, אוניברסיטת בן גוריון, באר שבע</w:t>
      </w:r>
      <w:r>
        <w:rPr>
          <w:rFonts w:ascii="David" w:hAnsi="David" w:cs="David" w:hint="cs"/>
          <w:sz w:val="24"/>
          <w:szCs w:val="24"/>
          <w:rtl/>
        </w:rPr>
        <w:t>. עמ'</w:t>
      </w:r>
      <w:r w:rsidR="00CC0CB8" w:rsidRPr="00CC0CB8">
        <w:rPr>
          <w:rFonts w:ascii="David" w:hAnsi="David" w:cs="David"/>
          <w:sz w:val="24"/>
          <w:szCs w:val="24"/>
          <w:rtl/>
        </w:rPr>
        <w:t xml:space="preserve"> 212 -243</w:t>
      </w:r>
      <w:r w:rsidR="00CC0CB8" w:rsidRPr="00CC0CB8">
        <w:rPr>
          <w:rFonts w:ascii="David" w:hAnsi="David" w:cs="David"/>
          <w:b/>
          <w:bCs/>
          <w:sz w:val="24"/>
          <w:szCs w:val="24"/>
          <w:rtl/>
        </w:rPr>
        <w:t>.</w:t>
      </w:r>
      <w:r w:rsidR="0035730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C0CB8" w:rsidRPr="00A51B3A" w:rsidRDefault="00CC0CB8" w:rsidP="003C3F73">
      <w:pPr>
        <w:numPr>
          <w:ilvl w:val="0"/>
          <w:numId w:val="4"/>
        </w:numPr>
        <w:bidi w:val="0"/>
        <w:spacing w:line="360" w:lineRule="auto"/>
        <w:rPr>
          <w:rFonts w:cs="Times New Roman"/>
          <w:sz w:val="24"/>
          <w:szCs w:val="24"/>
        </w:rPr>
      </w:pPr>
      <w:r w:rsidRPr="00A51B3A">
        <w:rPr>
          <w:rFonts w:cs="Times New Roman"/>
          <w:sz w:val="24"/>
          <w:szCs w:val="24"/>
        </w:rPr>
        <w:t xml:space="preserve">Katznelson, I. (1981). </w:t>
      </w:r>
      <w:r w:rsidRPr="00A51B3A">
        <w:rPr>
          <w:rFonts w:cs="Times New Roman"/>
          <w:i/>
          <w:iCs/>
          <w:sz w:val="24"/>
          <w:szCs w:val="24"/>
        </w:rPr>
        <w:t>City trenches: Urban politics and patterning of class in the United States</w:t>
      </w:r>
      <w:r w:rsidRPr="00A51B3A">
        <w:rPr>
          <w:rFonts w:cs="Times New Roman"/>
          <w:b/>
          <w:bCs/>
          <w:sz w:val="24"/>
          <w:szCs w:val="24"/>
        </w:rPr>
        <w:t>.</w:t>
      </w:r>
      <w:r w:rsidRPr="00A51B3A">
        <w:rPr>
          <w:rFonts w:cs="Times New Roman"/>
          <w:sz w:val="24"/>
          <w:szCs w:val="24"/>
        </w:rPr>
        <w:t xml:space="preserve"> Chicago: University of Chicago Press</w:t>
      </w:r>
      <w:r w:rsidRPr="00A51B3A">
        <w:rPr>
          <w:rFonts w:cs="Times New Roman"/>
          <w:sz w:val="24"/>
          <w:szCs w:val="24"/>
          <w:rtl/>
        </w:rPr>
        <w:t>.</w:t>
      </w:r>
    </w:p>
    <w:p w:rsidR="00330744" w:rsidRPr="006F7017" w:rsidRDefault="00330744" w:rsidP="00F94507">
      <w:pPr>
        <w:bidi w:val="0"/>
        <w:spacing w:line="360" w:lineRule="auto"/>
        <w:ind w:left="360"/>
        <w:rPr>
          <w:rFonts w:ascii="David" w:hAnsi="David" w:cs="David"/>
          <w:sz w:val="24"/>
          <w:szCs w:val="24"/>
        </w:rPr>
      </w:pPr>
    </w:p>
    <w:p w:rsidR="003A1F73" w:rsidRDefault="003A1F73" w:rsidP="00F94507">
      <w:pPr>
        <w:pStyle w:val="Title"/>
        <w:numPr>
          <w:ilvl w:val="0"/>
          <w:numId w:val="13"/>
        </w:numPr>
        <w:jc w:val="left"/>
        <w:rPr>
          <w:rStyle w:val="Emphasis"/>
        </w:rPr>
      </w:pPr>
      <w:r>
        <w:rPr>
          <w:rStyle w:val="Emphasis"/>
          <w:rFonts w:hint="cs"/>
          <w:rtl/>
        </w:rPr>
        <w:t>פילוח</w:t>
      </w:r>
      <w:r w:rsidR="00F94507">
        <w:rPr>
          <w:rStyle w:val="Emphasis"/>
          <w:rFonts w:hint="cs"/>
          <w:rtl/>
        </w:rPr>
        <w:t xml:space="preserve"> ו</w:t>
      </w:r>
      <w:r>
        <w:rPr>
          <w:rStyle w:val="Emphasis"/>
          <w:rFonts w:hint="cs"/>
          <w:rtl/>
        </w:rPr>
        <w:t>איגודים: שנות ה-1970</w:t>
      </w:r>
    </w:p>
    <w:p w:rsidR="0061762A" w:rsidRDefault="0061762A" w:rsidP="0061762A">
      <w:pPr>
        <w:numPr>
          <w:ilvl w:val="0"/>
          <w:numId w:val="4"/>
        </w:numPr>
        <w:spacing w:line="360" w:lineRule="auto"/>
        <w:rPr>
          <w:rFonts w:ascii="Arial" w:hAnsi="Arial" w:cs="David"/>
          <w:sz w:val="24"/>
          <w:szCs w:val="24"/>
        </w:rPr>
      </w:pPr>
      <w:r w:rsidRPr="0021575B">
        <w:rPr>
          <w:rFonts w:ascii="Arial" w:hAnsi="Arial" w:cs="David" w:hint="cs"/>
          <w:sz w:val="24"/>
          <w:szCs w:val="24"/>
          <w:rtl/>
        </w:rPr>
        <w:t>גרינברג ל.,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="00F94507">
        <w:rPr>
          <w:rFonts w:ascii="Arial" w:hAnsi="Arial" w:cs="David"/>
          <w:sz w:val="24"/>
          <w:szCs w:val="24"/>
        </w:rPr>
        <w:t>)</w:t>
      </w:r>
      <w:r>
        <w:rPr>
          <w:rFonts w:ascii="Arial" w:hAnsi="Arial" w:cs="David" w:hint="cs"/>
          <w:sz w:val="24"/>
          <w:szCs w:val="24"/>
          <w:rtl/>
        </w:rPr>
        <w:t>1996</w:t>
      </w:r>
      <w:r w:rsidR="00F94507">
        <w:rPr>
          <w:rFonts w:ascii="Arial" w:hAnsi="Arial" w:cs="David"/>
          <w:sz w:val="24"/>
          <w:szCs w:val="24"/>
        </w:rPr>
        <w:t>(</w:t>
      </w:r>
      <w:r>
        <w:rPr>
          <w:rFonts w:ascii="Arial" w:hAnsi="Arial" w:cs="David" w:hint="cs"/>
          <w:sz w:val="24"/>
          <w:szCs w:val="24"/>
          <w:rtl/>
        </w:rPr>
        <w:t>.</w:t>
      </w:r>
      <w:r w:rsidRPr="0021575B">
        <w:rPr>
          <w:rFonts w:ascii="Arial" w:hAnsi="Arial" w:cs="David" w:hint="cs"/>
          <w:sz w:val="24"/>
          <w:szCs w:val="24"/>
          <w:rtl/>
        </w:rPr>
        <w:t xml:space="preserve"> "</w:t>
      </w:r>
      <w:r w:rsidRPr="0021575B">
        <w:rPr>
          <w:rFonts w:ascii="Arial" w:hAnsi="Arial" w:cs="David"/>
          <w:sz w:val="24"/>
          <w:szCs w:val="24"/>
          <w:rtl/>
        </w:rPr>
        <w:t>עובדים חלשים, עובדים חזקים : זרמים בכלכלה הפוליטית הישראלית - 1967-</w:t>
      </w:r>
      <w:r w:rsidRPr="0021575B">
        <w:rPr>
          <w:rFonts w:ascii="Arial" w:hAnsi="Arial" w:cs="David" w:hint="cs"/>
          <w:sz w:val="24"/>
          <w:szCs w:val="24"/>
          <w:rtl/>
        </w:rPr>
        <w:t xml:space="preserve"> </w:t>
      </w:r>
      <w:r w:rsidRPr="0021575B">
        <w:rPr>
          <w:rFonts w:ascii="Arial" w:hAnsi="Arial" w:cs="David"/>
          <w:sz w:val="24"/>
          <w:szCs w:val="24"/>
          <w:rtl/>
        </w:rPr>
        <w:t>1994</w:t>
      </w:r>
      <w:r w:rsidRPr="0021575B">
        <w:rPr>
          <w:rFonts w:ascii="Arial" w:hAnsi="Arial" w:cs="David"/>
          <w:sz w:val="24"/>
          <w:szCs w:val="24"/>
        </w:rPr>
        <w:t>‬</w:t>
      </w:r>
      <w:r w:rsidRPr="0021575B">
        <w:rPr>
          <w:rFonts w:ascii="Arial" w:hAnsi="Arial" w:cs="David" w:hint="cs"/>
          <w:sz w:val="24"/>
          <w:szCs w:val="24"/>
          <w:rtl/>
        </w:rPr>
        <w:t xml:space="preserve">", </w:t>
      </w:r>
      <w:r w:rsidRPr="00F94507">
        <w:rPr>
          <w:rFonts w:ascii="Arial" w:hAnsi="Arial" w:cs="David" w:hint="cs"/>
          <w:i/>
          <w:iCs/>
          <w:sz w:val="24"/>
          <w:szCs w:val="24"/>
          <w:rtl/>
        </w:rPr>
        <w:t>תיאוריה וביקורת</w:t>
      </w:r>
      <w:r w:rsidRPr="0021575B">
        <w:rPr>
          <w:rFonts w:ascii="Arial" w:hAnsi="Arial" w:cs="David" w:hint="cs"/>
          <w:sz w:val="24"/>
          <w:szCs w:val="24"/>
          <w:rtl/>
        </w:rPr>
        <w:t>, 9: 61- 80.</w:t>
      </w:r>
    </w:p>
    <w:p w:rsidR="0061762A" w:rsidRPr="00A51B3A" w:rsidRDefault="00A51B3A" w:rsidP="00A51B3A">
      <w:pPr>
        <w:numPr>
          <w:ilvl w:val="0"/>
          <w:numId w:val="4"/>
        </w:numPr>
        <w:bidi w:val="0"/>
        <w:spacing w:line="360" w:lineRule="auto"/>
        <w:rPr>
          <w:rFonts w:cs="Times New Roman"/>
          <w:sz w:val="24"/>
          <w:szCs w:val="24"/>
        </w:rPr>
      </w:pPr>
      <w:r w:rsidRPr="00A51B3A">
        <w:rPr>
          <w:rFonts w:cs="Times New Roman"/>
          <w:sz w:val="24"/>
          <w:szCs w:val="24"/>
        </w:rPr>
        <w:t xml:space="preserve">Tilly, C. &amp; </w:t>
      </w:r>
      <w:r w:rsidR="00E81A52" w:rsidRPr="00A51B3A">
        <w:rPr>
          <w:rFonts w:cs="Times New Roman"/>
          <w:sz w:val="24"/>
          <w:szCs w:val="24"/>
        </w:rPr>
        <w:t>Tilly, C. (</w:t>
      </w:r>
      <w:r w:rsidRPr="00A51B3A">
        <w:rPr>
          <w:rFonts w:cs="Times New Roman"/>
          <w:sz w:val="24"/>
          <w:szCs w:val="24"/>
        </w:rPr>
        <w:t>1998</w:t>
      </w:r>
      <w:r w:rsidR="00E81A52" w:rsidRPr="00A51B3A">
        <w:rPr>
          <w:rFonts w:cs="Times New Roman"/>
          <w:sz w:val="24"/>
          <w:szCs w:val="24"/>
        </w:rPr>
        <w:t>). </w:t>
      </w:r>
      <w:r w:rsidR="00E81A52" w:rsidRPr="00A51B3A">
        <w:rPr>
          <w:rFonts w:cs="Times New Roman"/>
          <w:i/>
          <w:iCs/>
          <w:sz w:val="24"/>
          <w:szCs w:val="24"/>
        </w:rPr>
        <w:t>Work under capitalism</w:t>
      </w:r>
      <w:r w:rsidR="00E81A52" w:rsidRPr="00A51B3A">
        <w:rPr>
          <w:rFonts w:cs="Times New Roman"/>
          <w:sz w:val="24"/>
          <w:szCs w:val="24"/>
        </w:rPr>
        <w:t xml:space="preserve">. </w:t>
      </w:r>
      <w:r w:rsidRPr="00A51B3A">
        <w:rPr>
          <w:rFonts w:cs="Times New Roman"/>
          <w:sz w:val="24"/>
          <w:szCs w:val="24"/>
        </w:rPr>
        <w:t xml:space="preserve">Oxford: Westview Press, pp. </w:t>
      </w:r>
      <w:r w:rsidRPr="00A51B3A">
        <w:rPr>
          <w:rFonts w:cs="Times New Roman"/>
          <w:sz w:val="24"/>
          <w:szCs w:val="24"/>
          <w:rtl/>
        </w:rPr>
        <w:t>229-253</w:t>
      </w:r>
      <w:r w:rsidR="00E81A52" w:rsidRPr="00A51B3A">
        <w:rPr>
          <w:rFonts w:cs="Times New Roman"/>
          <w:sz w:val="24"/>
          <w:szCs w:val="24"/>
        </w:rPr>
        <w:t>.</w:t>
      </w:r>
      <w:r w:rsidR="00E81A52" w:rsidRPr="00A51B3A">
        <w:rPr>
          <w:rFonts w:cs="Times New Roman"/>
          <w:sz w:val="24"/>
          <w:szCs w:val="24"/>
          <w:rtl/>
        </w:rPr>
        <w:t>‏</w:t>
      </w:r>
    </w:p>
    <w:p w:rsidR="00A51B3A" w:rsidRPr="00E81A52" w:rsidRDefault="00A51B3A" w:rsidP="00A51B3A">
      <w:pPr>
        <w:bidi w:val="0"/>
        <w:spacing w:line="360" w:lineRule="auto"/>
        <w:ind w:left="360"/>
        <w:rPr>
          <w:rFonts w:ascii="David" w:hAnsi="David" w:cs="David"/>
          <w:sz w:val="24"/>
          <w:szCs w:val="24"/>
        </w:rPr>
      </w:pPr>
    </w:p>
    <w:p w:rsidR="0032746E" w:rsidRDefault="0032746E" w:rsidP="00D16FA4">
      <w:pPr>
        <w:pStyle w:val="Title"/>
        <w:numPr>
          <w:ilvl w:val="0"/>
          <w:numId w:val="13"/>
        </w:numPr>
        <w:jc w:val="left"/>
        <w:rPr>
          <w:rStyle w:val="Emphasis"/>
        </w:rPr>
      </w:pPr>
      <w:r>
        <w:rPr>
          <w:rStyle w:val="Emphasis"/>
          <w:rFonts w:hint="cs"/>
          <w:rtl/>
        </w:rPr>
        <w:t>ליברליזציה</w:t>
      </w:r>
      <w:r w:rsidR="003A1F73">
        <w:rPr>
          <w:rStyle w:val="Emphasis"/>
          <w:rFonts w:hint="cs"/>
          <w:rtl/>
        </w:rPr>
        <w:t>: שנות ה-1980-</w:t>
      </w:r>
      <w:r w:rsidR="0061762A">
        <w:rPr>
          <w:rStyle w:val="Emphasis"/>
          <w:rFonts w:hint="cs"/>
          <w:rtl/>
        </w:rPr>
        <w:t xml:space="preserve"> </w:t>
      </w:r>
      <w:r w:rsidR="003A1F73">
        <w:rPr>
          <w:rStyle w:val="Emphasis"/>
          <w:rFonts w:hint="cs"/>
          <w:rtl/>
        </w:rPr>
        <w:t>1990</w:t>
      </w:r>
      <w:r>
        <w:rPr>
          <w:rStyle w:val="Emphasis"/>
          <w:rFonts w:hint="cs"/>
          <w:rtl/>
        </w:rPr>
        <w:t xml:space="preserve"> </w:t>
      </w:r>
    </w:p>
    <w:p w:rsidR="00FF701B" w:rsidRPr="0035730E" w:rsidRDefault="00FF701B" w:rsidP="00E630C0">
      <w:pPr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6F7017">
        <w:rPr>
          <w:rFonts w:ascii="David" w:hAnsi="David" w:cs="David"/>
          <w:snapToGrid w:val="0"/>
          <w:sz w:val="24"/>
          <w:szCs w:val="24"/>
          <w:rtl/>
        </w:rPr>
        <w:t>בר-און ש</w:t>
      </w:r>
      <w:r w:rsidR="00E630C0">
        <w:rPr>
          <w:rFonts w:ascii="David" w:hAnsi="David" w:cs="David" w:hint="cs"/>
          <w:snapToGrid w:val="0"/>
          <w:sz w:val="24"/>
          <w:szCs w:val="24"/>
          <w:rtl/>
        </w:rPr>
        <w:t>. (2007).</w:t>
      </w:r>
      <w:r w:rsidRPr="006F7017">
        <w:rPr>
          <w:rFonts w:ascii="David" w:hAnsi="David" w:cs="David"/>
          <w:snapToGrid w:val="0"/>
          <w:sz w:val="24"/>
          <w:szCs w:val="24"/>
          <w:rtl/>
        </w:rPr>
        <w:t xml:space="preserve"> '</w:t>
      </w:r>
      <w:r w:rsidRPr="006F7017">
        <w:rPr>
          <w:rFonts w:ascii="David" w:hAnsi="David" w:cs="David"/>
          <w:sz w:val="24"/>
          <w:szCs w:val="24"/>
          <w:rtl/>
        </w:rPr>
        <w:t>חוזה שהופר: עובדים ומדינה באופקים, 1955 - 1981</w:t>
      </w:r>
      <w:r w:rsidRPr="006F7017">
        <w:rPr>
          <w:rFonts w:ascii="David" w:hAnsi="David" w:cs="David"/>
          <w:snapToGrid w:val="0"/>
          <w:sz w:val="24"/>
          <w:szCs w:val="24"/>
          <w:rtl/>
        </w:rPr>
        <w:t xml:space="preserve">', </w:t>
      </w:r>
      <w:r w:rsidRPr="00E630C0">
        <w:rPr>
          <w:rFonts w:ascii="David" w:hAnsi="David" w:cs="David"/>
          <w:i/>
          <w:iCs/>
          <w:snapToGrid w:val="0"/>
          <w:sz w:val="24"/>
          <w:szCs w:val="24"/>
          <w:rtl/>
        </w:rPr>
        <w:t>עיונים בתקומת ישראל</w:t>
      </w:r>
      <w:r w:rsidRPr="006F7017">
        <w:rPr>
          <w:rFonts w:ascii="David" w:hAnsi="David" w:cs="David"/>
          <w:snapToGrid w:val="0"/>
          <w:sz w:val="24"/>
          <w:szCs w:val="24"/>
          <w:rtl/>
        </w:rPr>
        <w:t>, 17: 287 – 317</w:t>
      </w:r>
      <w:r w:rsidR="00E630C0">
        <w:rPr>
          <w:rFonts w:ascii="David" w:hAnsi="David" w:cs="David" w:hint="cs"/>
          <w:snapToGrid w:val="0"/>
          <w:sz w:val="24"/>
          <w:szCs w:val="24"/>
          <w:rtl/>
        </w:rPr>
        <w:t>.</w:t>
      </w:r>
    </w:p>
    <w:p w:rsidR="0061762A" w:rsidRPr="00AB631D" w:rsidRDefault="0061762A" w:rsidP="0061762A">
      <w:pPr>
        <w:numPr>
          <w:ilvl w:val="0"/>
          <w:numId w:val="4"/>
        </w:numPr>
        <w:bidi w:val="0"/>
        <w:spacing w:line="360" w:lineRule="auto"/>
        <w:rPr>
          <w:rFonts w:cs="Times New Roman"/>
          <w:sz w:val="24"/>
          <w:szCs w:val="24"/>
        </w:rPr>
      </w:pPr>
      <w:r w:rsidRPr="00AB631D">
        <w:rPr>
          <w:rFonts w:cs="Times New Roman"/>
          <w:sz w:val="24"/>
          <w:szCs w:val="24"/>
        </w:rPr>
        <w:t>Taylor, G. (2018). Internecine strife in trade union organisations: status, competition and the effect of industry rationalisation and neo-liberalism. </w:t>
      </w:r>
      <w:r w:rsidRPr="00AB631D">
        <w:rPr>
          <w:rFonts w:cs="Times New Roman"/>
          <w:i/>
          <w:iCs/>
          <w:sz w:val="24"/>
          <w:szCs w:val="24"/>
        </w:rPr>
        <w:t>Labor History</w:t>
      </w:r>
      <w:r w:rsidRPr="00AB631D">
        <w:rPr>
          <w:rFonts w:cs="Times New Roman"/>
          <w:sz w:val="24"/>
          <w:szCs w:val="24"/>
        </w:rPr>
        <w:t>, 59(2), 162-184.</w:t>
      </w:r>
      <w:r w:rsidRPr="00AB631D">
        <w:rPr>
          <w:rFonts w:cs="Times New Roman"/>
          <w:sz w:val="24"/>
          <w:szCs w:val="24"/>
          <w:rtl/>
        </w:rPr>
        <w:t>‏</w:t>
      </w:r>
    </w:p>
    <w:p w:rsidR="00B87444" w:rsidRDefault="006812F2" w:rsidP="00B4196D">
      <w:pPr>
        <w:pStyle w:val="Title"/>
        <w:numPr>
          <w:ilvl w:val="0"/>
          <w:numId w:val="13"/>
        </w:numPr>
        <w:jc w:val="left"/>
        <w:rPr>
          <w:rStyle w:val="Emphasis"/>
        </w:rPr>
      </w:pPr>
      <w:r>
        <w:rPr>
          <w:rStyle w:val="Emphasis"/>
          <w:rFonts w:hint="cs"/>
          <w:rtl/>
        </w:rPr>
        <w:t>סיכום</w:t>
      </w:r>
      <w:r w:rsidR="003A1F73">
        <w:rPr>
          <w:rStyle w:val="Emphasis"/>
          <w:rFonts w:hint="cs"/>
          <w:rtl/>
        </w:rPr>
        <w:t xml:space="preserve">: במפנה המאה ה-21 </w:t>
      </w:r>
      <w:r w:rsidR="003A1F73">
        <w:rPr>
          <w:rStyle w:val="Emphasis"/>
          <w:rtl/>
        </w:rPr>
        <w:t>–</w:t>
      </w:r>
      <w:r w:rsidR="00B4196D">
        <w:rPr>
          <w:rStyle w:val="Emphasis"/>
          <w:rFonts w:hint="cs"/>
          <w:rtl/>
        </w:rPr>
        <w:t xml:space="preserve"> </w:t>
      </w:r>
      <w:r w:rsidR="003A1F73">
        <w:rPr>
          <w:rStyle w:val="Emphasis"/>
          <w:rFonts w:hint="cs"/>
          <w:rtl/>
        </w:rPr>
        <w:t>חוסר הנחת</w:t>
      </w:r>
      <w:r w:rsidR="00B4196D">
        <w:rPr>
          <w:rStyle w:val="Emphasis"/>
          <w:rFonts w:hint="cs"/>
          <w:rtl/>
        </w:rPr>
        <w:t xml:space="preserve"> נהיה יותר נוח?</w:t>
      </w:r>
    </w:p>
    <w:p w:rsidR="0016122A" w:rsidRPr="006F7017" w:rsidRDefault="0016122A" w:rsidP="00D16FA4">
      <w:pPr>
        <w:bidi w:val="0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5E4532" w:rsidRDefault="005E4532" w:rsidP="00D16FA4">
      <w:pPr>
        <w:spacing w:line="360" w:lineRule="auto"/>
        <w:rPr>
          <w:rStyle w:val="Hyperlink"/>
        </w:rPr>
      </w:pPr>
    </w:p>
    <w:sectPr w:rsidR="005E4532" w:rsidSect="00535F34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8F" w:rsidRDefault="0073668F">
      <w:r>
        <w:separator/>
      </w:r>
    </w:p>
  </w:endnote>
  <w:endnote w:type="continuationSeparator" w:id="0">
    <w:p w:rsidR="0073668F" w:rsidRDefault="0073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0C0" w:rsidRDefault="00E630C0" w:rsidP="004A2AFA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630C0" w:rsidRDefault="00E630C0" w:rsidP="00E60B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0C0" w:rsidRDefault="00E630C0" w:rsidP="004A2AFA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3668F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E630C0" w:rsidRDefault="00E630C0" w:rsidP="00E60B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8F" w:rsidRDefault="0073668F">
      <w:r>
        <w:separator/>
      </w:r>
    </w:p>
  </w:footnote>
  <w:footnote w:type="continuationSeparator" w:id="0">
    <w:p w:rsidR="0073668F" w:rsidRDefault="0073668F">
      <w:r>
        <w:continuationSeparator/>
      </w:r>
    </w:p>
  </w:footnote>
  <w:footnote w:id="1">
    <w:p w:rsidR="00E630C0" w:rsidRPr="00720408" w:rsidRDefault="00E630C0" w:rsidP="00720408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B77EC">
        <w:rPr>
          <w:rFonts w:ascii="David" w:hAnsi="David" w:cs="David"/>
          <w:rtl/>
        </w:rPr>
        <w:t xml:space="preserve">הנוכחות נבדקת. מעל </w:t>
      </w:r>
      <w:r>
        <w:rPr>
          <w:rFonts w:ascii="David" w:hAnsi="David" w:cs="David" w:hint="cs"/>
          <w:rtl/>
        </w:rPr>
        <w:t>1</w:t>
      </w:r>
      <w:r w:rsidRPr="00AB77EC">
        <w:rPr>
          <w:rFonts w:ascii="David" w:hAnsi="David" w:cs="David"/>
          <w:rtl/>
        </w:rPr>
        <w:t>0%</w:t>
      </w:r>
      <w:r>
        <w:rPr>
          <w:rFonts w:ascii="David" w:hAnsi="David" w:cs="David"/>
          <w:rtl/>
        </w:rPr>
        <w:t xml:space="preserve"> היעדרות</w:t>
      </w:r>
      <w:r>
        <w:rPr>
          <w:rFonts w:ascii="David" w:hAnsi="David" w:cs="David" w:hint="cs"/>
          <w:rtl/>
        </w:rPr>
        <w:t xml:space="preserve">, </w:t>
      </w:r>
      <w:r>
        <w:rPr>
          <w:rFonts w:ascii="David" w:hAnsi="David" w:cs="David"/>
          <w:rtl/>
        </w:rPr>
        <w:t>השתתפות</w:t>
      </w:r>
      <w:r w:rsidRPr="00AB77EC">
        <w:rPr>
          <w:rFonts w:ascii="David" w:hAnsi="David" w:cs="David"/>
          <w:rtl/>
        </w:rPr>
        <w:t xml:space="preserve"> הסטודנט</w:t>
      </w:r>
      <w:r>
        <w:rPr>
          <w:rFonts w:ascii="David" w:hAnsi="David" w:cs="David" w:hint="cs"/>
          <w:rtl/>
        </w:rPr>
        <w:t>.ית</w:t>
      </w:r>
      <w:r w:rsidRPr="00AB77EC">
        <w:rPr>
          <w:rFonts w:ascii="David" w:hAnsi="David" w:cs="David"/>
          <w:rtl/>
        </w:rPr>
        <w:t xml:space="preserve"> תופסק.</w:t>
      </w:r>
      <w:r>
        <w:rPr>
          <w:rFonts w:ascii="David" w:hAnsi="David" w:cs="David" w:hint="cs"/>
          <w:rtl/>
        </w:rPr>
        <w:t xml:space="preserve"> בלמידה מרחוק סעיף זה כולל </w:t>
      </w:r>
      <w:r>
        <w:rPr>
          <w:rFonts w:ascii="David" w:hAnsi="David" w:cs="David" w:hint="cs"/>
          <w:b/>
          <w:bCs/>
          <w:rtl/>
        </w:rPr>
        <w:t>השתתפות פעילה (הכנת חומרים, השתתפות בדיונים, נראות במידת האפשר), והיעדרות תחשב גם הדלקת זום ללא נוכחות</w:t>
      </w:r>
      <w:r w:rsidRPr="00720408">
        <w:rPr>
          <w:rFonts w:ascii="David" w:hAnsi="David" w:cs="David" w:hint="cs"/>
          <w:rtl/>
        </w:rPr>
        <w:t>.</w:t>
      </w:r>
    </w:p>
  </w:footnote>
  <w:footnote w:id="2">
    <w:p w:rsidR="00E630C0" w:rsidRDefault="00E630C0" w:rsidP="001A7C1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D7C6D">
        <w:rPr>
          <w:rFonts w:cs="David" w:hint="cs"/>
          <w:rtl/>
        </w:rPr>
        <w:t xml:space="preserve">ייתכנו שינויים </w:t>
      </w:r>
      <w:r>
        <w:rPr>
          <w:rFonts w:cs="David" w:hint="cs"/>
          <w:rtl/>
        </w:rPr>
        <w:t xml:space="preserve">ותוספות </w:t>
      </w:r>
      <w:r w:rsidRPr="00CD7C6D">
        <w:rPr>
          <w:rFonts w:cs="David" w:hint="cs"/>
          <w:rtl/>
        </w:rPr>
        <w:t>במהלך ה</w:t>
      </w:r>
      <w:r>
        <w:rPr>
          <w:rFonts w:cs="David" w:hint="cs"/>
          <w:rtl/>
        </w:rPr>
        <w:t>סמסטר</w:t>
      </w:r>
      <w:r w:rsidRPr="00CD7C6D">
        <w:rPr>
          <w:rFonts w:cs="David"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1B2"/>
    <w:multiLevelType w:val="hybridMultilevel"/>
    <w:tmpl w:val="35F0B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1B77"/>
    <w:multiLevelType w:val="hybridMultilevel"/>
    <w:tmpl w:val="9C16A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4E84"/>
    <w:multiLevelType w:val="hybridMultilevel"/>
    <w:tmpl w:val="175EB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35E5"/>
    <w:multiLevelType w:val="hybridMultilevel"/>
    <w:tmpl w:val="83DAC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765BB"/>
    <w:multiLevelType w:val="hybridMultilevel"/>
    <w:tmpl w:val="1B7018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B101D4"/>
    <w:multiLevelType w:val="hybridMultilevel"/>
    <w:tmpl w:val="C88A0866"/>
    <w:lvl w:ilvl="0" w:tplc="5708334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52E58"/>
    <w:multiLevelType w:val="hybridMultilevel"/>
    <w:tmpl w:val="A4526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7067E"/>
    <w:multiLevelType w:val="hybridMultilevel"/>
    <w:tmpl w:val="63064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A3778"/>
    <w:multiLevelType w:val="hybridMultilevel"/>
    <w:tmpl w:val="4698C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8316B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0" w15:restartNumberingAfterBreak="0">
    <w:nsid w:val="5C154D54"/>
    <w:multiLevelType w:val="hybridMultilevel"/>
    <w:tmpl w:val="AF72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921D3"/>
    <w:multiLevelType w:val="hybridMultilevel"/>
    <w:tmpl w:val="BFC8D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A4970"/>
    <w:multiLevelType w:val="hybridMultilevel"/>
    <w:tmpl w:val="17DEF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D24A0"/>
    <w:multiLevelType w:val="hybridMultilevel"/>
    <w:tmpl w:val="42A4FDF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465FB0"/>
    <w:multiLevelType w:val="hybridMultilevel"/>
    <w:tmpl w:val="77381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683F7E"/>
    <w:multiLevelType w:val="singleLevel"/>
    <w:tmpl w:val="37F40588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DD"/>
    <w:rsid w:val="000137D2"/>
    <w:rsid w:val="00056463"/>
    <w:rsid w:val="000611DD"/>
    <w:rsid w:val="0006478D"/>
    <w:rsid w:val="000B268D"/>
    <w:rsid w:val="00130AC3"/>
    <w:rsid w:val="0016122A"/>
    <w:rsid w:val="00167640"/>
    <w:rsid w:val="001A7C1E"/>
    <w:rsid w:val="001C1F40"/>
    <w:rsid w:val="001F5A71"/>
    <w:rsid w:val="00207791"/>
    <w:rsid w:val="00216EAF"/>
    <w:rsid w:val="00217889"/>
    <w:rsid w:val="002726DD"/>
    <w:rsid w:val="002848E0"/>
    <w:rsid w:val="00286F60"/>
    <w:rsid w:val="002A0328"/>
    <w:rsid w:val="002A5CC7"/>
    <w:rsid w:val="002E2EE4"/>
    <w:rsid w:val="00327084"/>
    <w:rsid w:val="0032746E"/>
    <w:rsid w:val="00330744"/>
    <w:rsid w:val="003571DD"/>
    <w:rsid w:val="0035730E"/>
    <w:rsid w:val="00367C07"/>
    <w:rsid w:val="00387F50"/>
    <w:rsid w:val="003A1F73"/>
    <w:rsid w:val="003C2C7B"/>
    <w:rsid w:val="003C3F73"/>
    <w:rsid w:val="003C5CB5"/>
    <w:rsid w:val="003D4E6B"/>
    <w:rsid w:val="003F3E8F"/>
    <w:rsid w:val="00423A9A"/>
    <w:rsid w:val="004A2AFA"/>
    <w:rsid w:val="005208CF"/>
    <w:rsid w:val="00535F34"/>
    <w:rsid w:val="00566951"/>
    <w:rsid w:val="00577EF1"/>
    <w:rsid w:val="005D3377"/>
    <w:rsid w:val="005E4532"/>
    <w:rsid w:val="005E7BC0"/>
    <w:rsid w:val="005E7C70"/>
    <w:rsid w:val="00616E84"/>
    <w:rsid w:val="0061762A"/>
    <w:rsid w:val="006354BF"/>
    <w:rsid w:val="006812F2"/>
    <w:rsid w:val="00695429"/>
    <w:rsid w:val="006A061C"/>
    <w:rsid w:val="006D4E16"/>
    <w:rsid w:val="006E26B5"/>
    <w:rsid w:val="006E6231"/>
    <w:rsid w:val="006F5FE2"/>
    <w:rsid w:val="006F7017"/>
    <w:rsid w:val="00720408"/>
    <w:rsid w:val="007339AC"/>
    <w:rsid w:val="0073668F"/>
    <w:rsid w:val="00762BFB"/>
    <w:rsid w:val="007835A7"/>
    <w:rsid w:val="0079648F"/>
    <w:rsid w:val="007A33BF"/>
    <w:rsid w:val="007F42A7"/>
    <w:rsid w:val="00804264"/>
    <w:rsid w:val="00821732"/>
    <w:rsid w:val="008810EB"/>
    <w:rsid w:val="008B62B7"/>
    <w:rsid w:val="00906C58"/>
    <w:rsid w:val="00961FF9"/>
    <w:rsid w:val="009864DF"/>
    <w:rsid w:val="009E6965"/>
    <w:rsid w:val="00A51B3A"/>
    <w:rsid w:val="00A52501"/>
    <w:rsid w:val="00A54343"/>
    <w:rsid w:val="00AB631D"/>
    <w:rsid w:val="00AF5FBC"/>
    <w:rsid w:val="00AF6C90"/>
    <w:rsid w:val="00B078D1"/>
    <w:rsid w:val="00B249DD"/>
    <w:rsid w:val="00B321AE"/>
    <w:rsid w:val="00B4196D"/>
    <w:rsid w:val="00B8202C"/>
    <w:rsid w:val="00B862FD"/>
    <w:rsid w:val="00B87444"/>
    <w:rsid w:val="00B960B0"/>
    <w:rsid w:val="00BF316B"/>
    <w:rsid w:val="00C167D1"/>
    <w:rsid w:val="00C74B75"/>
    <w:rsid w:val="00C82E45"/>
    <w:rsid w:val="00CB6488"/>
    <w:rsid w:val="00CC0CB8"/>
    <w:rsid w:val="00D00C66"/>
    <w:rsid w:val="00D16FA4"/>
    <w:rsid w:val="00D319C5"/>
    <w:rsid w:val="00D3501B"/>
    <w:rsid w:val="00D537D3"/>
    <w:rsid w:val="00E60B70"/>
    <w:rsid w:val="00E630C0"/>
    <w:rsid w:val="00E70E1E"/>
    <w:rsid w:val="00E731EF"/>
    <w:rsid w:val="00E81A52"/>
    <w:rsid w:val="00E82313"/>
    <w:rsid w:val="00E94749"/>
    <w:rsid w:val="00EA5F97"/>
    <w:rsid w:val="00ED5B6A"/>
    <w:rsid w:val="00F04B8F"/>
    <w:rsid w:val="00F101F1"/>
    <w:rsid w:val="00F315DD"/>
    <w:rsid w:val="00F94507"/>
    <w:rsid w:val="00FA16A0"/>
    <w:rsid w:val="00FA1A7B"/>
    <w:rsid w:val="00FD1010"/>
    <w:rsid w:val="00FF07E4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83310-CB95-4E6B-9587-4D86A562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1DD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3571DD"/>
    <w:pPr>
      <w:keepNext/>
      <w:spacing w:line="360" w:lineRule="auto"/>
      <w:jc w:val="both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71DD"/>
    <w:pPr>
      <w:spacing w:line="360" w:lineRule="auto"/>
      <w:jc w:val="center"/>
    </w:pPr>
    <w:rPr>
      <w:szCs w:val="24"/>
    </w:rPr>
  </w:style>
  <w:style w:type="paragraph" w:styleId="Subtitle">
    <w:name w:val="Subtitle"/>
    <w:basedOn w:val="Normal"/>
    <w:qFormat/>
    <w:rsid w:val="003571DD"/>
    <w:pPr>
      <w:spacing w:line="360" w:lineRule="auto"/>
      <w:jc w:val="both"/>
    </w:pPr>
    <w:rPr>
      <w:szCs w:val="24"/>
    </w:rPr>
  </w:style>
  <w:style w:type="paragraph" w:styleId="Footer">
    <w:name w:val="footer"/>
    <w:basedOn w:val="Normal"/>
    <w:rsid w:val="00E60B7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60B70"/>
  </w:style>
  <w:style w:type="character" w:styleId="Hyperlink">
    <w:name w:val="Hyperlink"/>
    <w:rsid w:val="00E60B70"/>
    <w:rPr>
      <w:color w:val="0000FF"/>
      <w:u w:val="single"/>
    </w:rPr>
  </w:style>
  <w:style w:type="paragraph" w:styleId="FootnoteText">
    <w:name w:val="footnote text"/>
    <w:basedOn w:val="Normal"/>
    <w:semiHidden/>
    <w:rsid w:val="007339AC"/>
  </w:style>
  <w:style w:type="character" w:styleId="FootnoteReference">
    <w:name w:val="footnote reference"/>
    <w:semiHidden/>
    <w:rsid w:val="007339AC"/>
    <w:rPr>
      <w:vertAlign w:val="superscript"/>
    </w:rPr>
  </w:style>
  <w:style w:type="character" w:styleId="Emphasis">
    <w:name w:val="Emphasis"/>
    <w:qFormat/>
    <w:rsid w:val="000137D2"/>
    <w:rPr>
      <w:i/>
      <w:iCs/>
    </w:rPr>
  </w:style>
  <w:style w:type="paragraph" w:styleId="BodyText">
    <w:name w:val="Body Text"/>
    <w:basedOn w:val="Normal"/>
    <w:link w:val="BodyTextChar"/>
    <w:rsid w:val="00286F60"/>
    <w:pPr>
      <w:bidi w:val="0"/>
      <w:spacing w:line="360" w:lineRule="auto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86F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0AC3"/>
    <w:pPr>
      <w:ind w:left="720"/>
      <w:contextualSpacing/>
    </w:pPr>
  </w:style>
  <w:style w:type="character" w:customStyle="1" w:styleId="italic">
    <w:name w:val="italic"/>
    <w:basedOn w:val="DefaultParagraphFont"/>
    <w:rsid w:val="00E9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aleph500.huji.ac.il/malmad/general/filler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4E76F-40EB-4D77-B5E4-8C3E16F7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אוניברסיטת בן גוריון בנגב</vt:lpstr>
      <vt:lpstr>אוניברסיטת בן גוריון בנגב</vt:lpstr>
    </vt:vector>
  </TitlesOfParts>
  <Company/>
  <LinksUpToDate>false</LinksUpToDate>
  <CharactersWithSpaces>5099</CharactersWithSpaces>
  <SharedDoc>false</SharedDoc>
  <HLinks>
    <vt:vector size="6" baseType="variant">
      <vt:variant>
        <vt:i4>1114190</vt:i4>
      </vt:variant>
      <vt:variant>
        <vt:i4>12238</vt:i4>
      </vt:variant>
      <vt:variant>
        <vt:i4>1025</vt:i4>
      </vt:variant>
      <vt:variant>
        <vt:i4>1</vt:i4>
      </vt:variant>
      <vt:variant>
        <vt:lpwstr>http://aleph500.huji.ac.il/malmad/general/filler.gif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אוניברסיטת בן גוריון בנגב</dc:title>
  <dc:subject/>
  <dc:creator>Shani Bar-On</dc:creator>
  <cp:keywords/>
  <dc:description/>
  <cp:lastModifiedBy>shani</cp:lastModifiedBy>
  <cp:revision>7</cp:revision>
  <dcterms:created xsi:type="dcterms:W3CDTF">2020-09-10T05:26:00Z</dcterms:created>
  <dcterms:modified xsi:type="dcterms:W3CDTF">2020-09-10T08:48:00Z</dcterms:modified>
</cp:coreProperties>
</file>