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B2B8" w14:textId="77777777" w:rsidR="00B877CF" w:rsidRDefault="00B877CF">
      <w:pPr>
        <w:rPr>
          <w:u w:val="single"/>
          <w:rtl/>
        </w:rPr>
      </w:pPr>
    </w:p>
    <w:p w14:paraId="7E1FB2B9" w14:textId="77777777" w:rsidR="00B877CF" w:rsidRDefault="00B877CF">
      <w:pPr>
        <w:jc w:val="both"/>
        <w:rPr>
          <w:u w:val="single"/>
          <w:rtl/>
        </w:rPr>
      </w:pPr>
    </w:p>
    <w:p w14:paraId="7E1FB2BB" w14:textId="1AE02EA9" w:rsidR="00B877CF" w:rsidRPr="00C759B2" w:rsidRDefault="00C759B2" w:rsidP="002F58D9">
      <w:pPr>
        <w:jc w:val="center"/>
        <w:rPr>
          <w:b/>
          <w:bCs/>
          <w:u w:val="single"/>
          <w:rtl/>
        </w:rPr>
      </w:pPr>
      <w:r w:rsidRPr="00C759B2">
        <w:rPr>
          <w:rFonts w:hint="cs"/>
          <w:b/>
          <w:bCs/>
          <w:u w:val="single"/>
          <w:rtl/>
        </w:rPr>
        <w:t xml:space="preserve">סמינר: </w:t>
      </w:r>
      <w:r w:rsidR="00ED6B9B" w:rsidRPr="00C759B2">
        <w:rPr>
          <w:rFonts w:hint="cs"/>
          <w:b/>
          <w:bCs/>
          <w:u w:val="single"/>
          <w:rtl/>
        </w:rPr>
        <w:t>דת, מדינה ומדיניות</w:t>
      </w:r>
    </w:p>
    <w:p w14:paraId="13E9CA9A" w14:textId="77777777" w:rsidR="00C759B2" w:rsidRDefault="00C759B2" w:rsidP="00C759B2">
      <w:pPr>
        <w:jc w:val="center"/>
        <w:rPr>
          <w:rtl/>
        </w:rPr>
      </w:pPr>
    </w:p>
    <w:p w14:paraId="7E1FB2BC" w14:textId="7F4BA444" w:rsidR="00B877CF" w:rsidRDefault="00C759B2" w:rsidP="00C759B2">
      <w:pPr>
        <w:jc w:val="center"/>
        <w:rPr>
          <w:u w:val="single"/>
          <w:rtl/>
        </w:rPr>
      </w:pPr>
      <w:r>
        <w:rPr>
          <w:rFonts w:hint="cs"/>
          <w:rtl/>
        </w:rPr>
        <w:t xml:space="preserve">פרופסור </w:t>
      </w:r>
      <w:r w:rsidR="00B877CF">
        <w:rPr>
          <w:rFonts w:hint="cs"/>
          <w:rtl/>
        </w:rPr>
        <w:t>גיא בן פורת</w:t>
      </w:r>
    </w:p>
    <w:p w14:paraId="7E1FB2BD" w14:textId="77777777" w:rsidR="00B877CF" w:rsidRDefault="00B877CF">
      <w:pPr>
        <w:jc w:val="both"/>
        <w:rPr>
          <w:u w:val="single"/>
          <w:rtl/>
        </w:rPr>
      </w:pPr>
    </w:p>
    <w:p w14:paraId="7E1FB2BE" w14:textId="77777777" w:rsidR="00B877CF" w:rsidRDefault="00B877CF">
      <w:pPr>
        <w:rPr>
          <w:rtl/>
        </w:rPr>
      </w:pPr>
    </w:p>
    <w:p w14:paraId="7E1FB2BF" w14:textId="77777777" w:rsidR="00B877CF" w:rsidRDefault="00B877CF">
      <w:pPr>
        <w:rPr>
          <w:rtl/>
        </w:rPr>
      </w:pPr>
      <w:r>
        <w:rPr>
          <w:rFonts w:hint="cs"/>
          <w:u w:val="single"/>
          <w:rtl/>
        </w:rPr>
        <w:t>תאור קורס</w:t>
      </w:r>
      <w:r>
        <w:rPr>
          <w:rFonts w:hint="cs"/>
          <w:rtl/>
        </w:rPr>
        <w:t xml:space="preserve">: </w:t>
      </w:r>
    </w:p>
    <w:p w14:paraId="7E1FB2C0" w14:textId="77777777" w:rsidR="00B877CF" w:rsidRDefault="00B877CF">
      <w:pPr>
        <w:rPr>
          <w:rtl/>
        </w:rPr>
      </w:pPr>
    </w:p>
    <w:p w14:paraId="7E1FB2C1" w14:textId="3B0069CB" w:rsidR="00B877CF" w:rsidRDefault="00495D77" w:rsidP="00B877CF">
      <w:pPr>
        <w:jc w:val="both"/>
        <w:rPr>
          <w:rtl/>
        </w:rPr>
      </w:pPr>
      <w:r>
        <w:rPr>
          <w:rFonts w:hint="cs"/>
          <w:rtl/>
        </w:rPr>
        <w:t>הסוגיות הקשורות ביחסי דת ומדינה הפכו בשנים האחרונות בישראל ובמקומות אחרים בעולם למרכזיות במאבקים בין קבוצות דתיות וחילוניות</w:t>
      </w:r>
      <w:r w:rsidR="00B877CF">
        <w:rPr>
          <w:rFonts w:hint="cs"/>
          <w:rtl/>
        </w:rPr>
        <w:t>.</w:t>
      </w:r>
      <w:r>
        <w:rPr>
          <w:rFonts w:hint="cs"/>
          <w:rtl/>
        </w:rPr>
        <w:t xml:space="preserve"> שינויים כלכליים, חברתיים ודמוגראפיים מערערים הסדרים ישנים ויוצרים אתגרים חדשים למדיניות ציבורית להתמודד עם דרישות רבות וסותרות לגבי המרחב הציבורי, חלוקת המשאבים והזכויות של אזרחים דתיים וחילוניים. </w:t>
      </w:r>
      <w:r w:rsidR="00C759B2">
        <w:rPr>
          <w:rFonts w:hint="cs"/>
          <w:rtl/>
        </w:rPr>
        <w:t>סמינר</w:t>
      </w:r>
      <w:r w:rsidR="00E972FA">
        <w:rPr>
          <w:rFonts w:hint="cs"/>
          <w:rtl/>
        </w:rPr>
        <w:t xml:space="preserve"> </w:t>
      </w:r>
      <w:r>
        <w:rPr>
          <w:rFonts w:hint="cs"/>
          <w:rtl/>
        </w:rPr>
        <w:t>זה יעסוק בתיאוריות ובמודלים השונים של יחסי דת ומדינה ובסוגיות ספציפיות של מדיניות ציבורית הבאות לידי ביטוי בפוליטיקה הארצית והמקומית</w:t>
      </w:r>
      <w:r w:rsidR="00F7303E">
        <w:rPr>
          <w:rFonts w:hint="cs"/>
          <w:rtl/>
        </w:rPr>
        <w:t xml:space="preserve"> בישראל ובמבט השוואתי</w:t>
      </w:r>
      <w:r w:rsidR="00E972FA">
        <w:rPr>
          <w:rFonts w:hint="cs"/>
          <w:rtl/>
        </w:rPr>
        <w:t xml:space="preserve"> למקומות אחרים בעולם</w:t>
      </w:r>
      <w:r>
        <w:rPr>
          <w:rFonts w:hint="cs"/>
          <w:rtl/>
        </w:rPr>
        <w:t>.</w:t>
      </w:r>
    </w:p>
    <w:p w14:paraId="7E1FB2C2" w14:textId="77777777" w:rsidR="00B877CF" w:rsidRDefault="00B877CF">
      <w:pPr>
        <w:bidi w:val="0"/>
      </w:pPr>
    </w:p>
    <w:p w14:paraId="7E1FB2C3" w14:textId="77777777" w:rsidR="00B877CF" w:rsidRDefault="00B877CF">
      <w:pPr>
        <w:rPr>
          <w:rtl/>
        </w:rPr>
      </w:pPr>
      <w:r>
        <w:rPr>
          <w:rFonts w:hint="cs"/>
          <w:u w:val="single"/>
          <w:rtl/>
        </w:rPr>
        <w:t>נושאי הקורס:</w:t>
      </w:r>
    </w:p>
    <w:p w14:paraId="7E1FB2C4" w14:textId="77777777" w:rsidR="00B877CF" w:rsidRDefault="00B877CF">
      <w:pPr>
        <w:rPr>
          <w:rtl/>
        </w:rPr>
      </w:pPr>
    </w:p>
    <w:p w14:paraId="7E1FB2C5" w14:textId="77777777" w:rsidR="00B877CF" w:rsidRDefault="00495D77">
      <w:pPr>
        <w:numPr>
          <w:ilvl w:val="0"/>
          <w:numId w:val="2"/>
        </w:numPr>
      </w:pPr>
      <w:r>
        <w:rPr>
          <w:rFonts w:hint="cs"/>
          <w:rtl/>
        </w:rPr>
        <w:t xml:space="preserve">מעמדה של הדת </w:t>
      </w:r>
      <w:r>
        <w:rPr>
          <w:rtl/>
        </w:rPr>
        <w:t>–</w:t>
      </w:r>
      <w:r>
        <w:rPr>
          <w:rFonts w:hint="cs"/>
          <w:rtl/>
        </w:rPr>
        <w:t xml:space="preserve"> הפרדת דת ומדינה או מונופול דתי?</w:t>
      </w:r>
    </w:p>
    <w:p w14:paraId="7E1FB2C6" w14:textId="77777777" w:rsidR="00B877CF" w:rsidRDefault="00B877CF" w:rsidP="00495D77">
      <w:pPr>
        <w:numPr>
          <w:ilvl w:val="0"/>
          <w:numId w:val="2"/>
        </w:numPr>
      </w:pPr>
      <w:r>
        <w:rPr>
          <w:rFonts w:hint="cs"/>
          <w:rtl/>
        </w:rPr>
        <w:t>תהליכי</w:t>
      </w:r>
      <w:r w:rsidR="00495D77">
        <w:rPr>
          <w:rFonts w:hint="cs"/>
          <w:rtl/>
        </w:rPr>
        <w:t xml:space="preserve"> החילון ומעמדה של הדת</w:t>
      </w:r>
    </w:p>
    <w:p w14:paraId="7E1FB2C7" w14:textId="77777777" w:rsidR="00F7303E" w:rsidRDefault="00F7303E" w:rsidP="00495D77">
      <w:pPr>
        <w:numPr>
          <w:ilvl w:val="0"/>
          <w:numId w:val="2"/>
        </w:numPr>
      </w:pPr>
      <w:r>
        <w:rPr>
          <w:rFonts w:hint="cs"/>
          <w:rtl/>
        </w:rPr>
        <w:t>דתיות וחילוניות בישראל</w:t>
      </w:r>
    </w:p>
    <w:p w14:paraId="7E1FB2C8" w14:textId="77777777" w:rsidR="004F10DB" w:rsidRDefault="00495D77">
      <w:pPr>
        <w:numPr>
          <w:ilvl w:val="0"/>
          <w:numId w:val="2"/>
        </w:numPr>
      </w:pPr>
      <w:r>
        <w:rPr>
          <w:rFonts w:hint="cs"/>
          <w:rtl/>
        </w:rPr>
        <w:t xml:space="preserve">דת וכלכלה </w:t>
      </w:r>
      <w:r>
        <w:rPr>
          <w:rtl/>
        </w:rPr>
        <w:t>–</w:t>
      </w:r>
      <w:r>
        <w:rPr>
          <w:rFonts w:hint="cs"/>
          <w:rtl/>
        </w:rPr>
        <w:t xml:space="preserve"> המגבלות והסייגים</w:t>
      </w:r>
      <w:r w:rsidR="004F10DB">
        <w:rPr>
          <w:rFonts w:hint="cs"/>
          <w:rtl/>
        </w:rPr>
        <w:t xml:space="preserve"> </w:t>
      </w:r>
    </w:p>
    <w:p w14:paraId="7E1FB2C9" w14:textId="77777777" w:rsidR="004F10DB" w:rsidRDefault="00495D77">
      <w:pPr>
        <w:numPr>
          <w:ilvl w:val="0"/>
          <w:numId w:val="2"/>
        </w:numPr>
      </w:pPr>
      <w:r>
        <w:rPr>
          <w:rFonts w:hint="cs"/>
          <w:rtl/>
        </w:rPr>
        <w:t xml:space="preserve">חלוקת המשאבים </w:t>
      </w:r>
      <w:r>
        <w:rPr>
          <w:rtl/>
        </w:rPr>
        <w:t>–</w:t>
      </w:r>
      <w:r>
        <w:rPr>
          <w:rFonts w:hint="cs"/>
          <w:rtl/>
        </w:rPr>
        <w:t xml:space="preserve"> מימון ותיקצוב מוסדות דת</w:t>
      </w:r>
    </w:p>
    <w:p w14:paraId="7E1FB2CA" w14:textId="77777777" w:rsidR="004F10DB" w:rsidRDefault="00F7303E">
      <w:pPr>
        <w:numPr>
          <w:ilvl w:val="0"/>
          <w:numId w:val="2"/>
        </w:numPr>
        <w:rPr>
          <w:rtl/>
        </w:rPr>
      </w:pPr>
      <w:r>
        <w:rPr>
          <w:rFonts w:hint="cs"/>
          <w:rtl/>
        </w:rPr>
        <w:t>חינוך דתי וחילוני</w:t>
      </w:r>
    </w:p>
    <w:p w14:paraId="7E1FB2CB" w14:textId="77777777" w:rsidR="00B877CF" w:rsidRDefault="00F7303E">
      <w:pPr>
        <w:numPr>
          <w:ilvl w:val="0"/>
          <w:numId w:val="2"/>
        </w:numPr>
      </w:pPr>
      <w:r>
        <w:rPr>
          <w:rFonts w:hint="cs"/>
          <w:rtl/>
        </w:rPr>
        <w:t>המונופול הדתי וחופש הפרט: נישואין וגירושים</w:t>
      </w:r>
    </w:p>
    <w:p w14:paraId="7E1FB2CC" w14:textId="77777777" w:rsidR="004F10DB" w:rsidRDefault="00F7303E">
      <w:pPr>
        <w:numPr>
          <w:ilvl w:val="0"/>
          <w:numId w:val="2"/>
        </w:numPr>
      </w:pPr>
      <w:r>
        <w:rPr>
          <w:rFonts w:hint="cs"/>
          <w:rtl/>
        </w:rPr>
        <w:t xml:space="preserve">ימי מנוחה וחופש העיסוק </w:t>
      </w:r>
    </w:p>
    <w:p w14:paraId="7E1FB2CD" w14:textId="77777777" w:rsidR="00F7303E" w:rsidRDefault="00F7303E">
      <w:pPr>
        <w:numPr>
          <w:ilvl w:val="0"/>
          <w:numId w:val="2"/>
        </w:numPr>
      </w:pPr>
      <w:r>
        <w:rPr>
          <w:rFonts w:hint="cs"/>
          <w:rtl/>
        </w:rPr>
        <w:t>מעמד האישה</w:t>
      </w:r>
    </w:p>
    <w:p w14:paraId="7E1FB2CE" w14:textId="77777777" w:rsidR="00F7303E" w:rsidRDefault="00F7303E">
      <w:pPr>
        <w:numPr>
          <w:ilvl w:val="0"/>
          <w:numId w:val="2"/>
        </w:numPr>
      </w:pPr>
      <w:r>
        <w:rPr>
          <w:rFonts w:hint="cs"/>
          <w:rtl/>
        </w:rPr>
        <w:t>השלטון המקומי והשסע הדתי-חילוני</w:t>
      </w:r>
    </w:p>
    <w:p w14:paraId="7E1FB2CF" w14:textId="77777777" w:rsidR="004F10DB" w:rsidRDefault="004F10DB" w:rsidP="00F7303E">
      <w:pPr>
        <w:ind w:left="720" w:right="720"/>
        <w:rPr>
          <w:rtl/>
        </w:rPr>
      </w:pPr>
    </w:p>
    <w:p w14:paraId="7E1FB2D0" w14:textId="77777777" w:rsidR="00B877CF" w:rsidRDefault="00B877CF">
      <w:pPr>
        <w:rPr>
          <w:rtl/>
        </w:rPr>
      </w:pPr>
    </w:p>
    <w:p w14:paraId="7E1FB2D1" w14:textId="77777777" w:rsidR="00B877CF" w:rsidRDefault="00B877CF">
      <w:pPr>
        <w:rPr>
          <w:u w:val="single"/>
          <w:rtl/>
        </w:rPr>
      </w:pPr>
    </w:p>
    <w:p w14:paraId="7E1FB2E5" w14:textId="77777777" w:rsidR="00317399" w:rsidRDefault="00317399">
      <w:pPr>
        <w:rPr>
          <w:u w:val="single"/>
          <w:rtl/>
        </w:rPr>
      </w:pPr>
    </w:p>
    <w:p w14:paraId="7E1FB2E6" w14:textId="77777777" w:rsidR="00317399" w:rsidRDefault="00F7303E">
      <w:pPr>
        <w:rPr>
          <w:rtl/>
        </w:rPr>
      </w:pPr>
      <w:r>
        <w:rPr>
          <w:rFonts w:hint="cs"/>
          <w:u w:val="single"/>
          <w:rtl/>
        </w:rPr>
        <w:t>ביבליוגרפיה</w:t>
      </w:r>
      <w:r w:rsidR="00785E77">
        <w:rPr>
          <w:rFonts w:hint="cs"/>
          <w:rtl/>
        </w:rPr>
        <w:t xml:space="preserve"> (ייתכנו שינויים ותוספות במהלך הקורס)</w:t>
      </w:r>
    </w:p>
    <w:p w14:paraId="7E1FB2E7" w14:textId="77777777" w:rsidR="00F7303E" w:rsidRDefault="00F7303E">
      <w:pPr>
        <w:rPr>
          <w:rtl/>
        </w:rPr>
      </w:pPr>
    </w:p>
    <w:p w14:paraId="7E1FB2E8" w14:textId="77777777" w:rsidR="00F7303E" w:rsidRPr="00F7303E" w:rsidRDefault="00F7303E">
      <w:pPr>
        <w:rPr>
          <w:rtl/>
        </w:rPr>
      </w:pPr>
    </w:p>
    <w:p w14:paraId="7E1FB2E9" w14:textId="77777777" w:rsidR="00F7303E" w:rsidRDefault="00F7303E" w:rsidP="00266245">
      <w:pPr>
        <w:bidi w:val="0"/>
        <w:rPr>
          <w:rFonts w:asciiTheme="minorBidi" w:hAnsiTheme="minorBidi" w:cstheme="minorBidi"/>
        </w:rPr>
      </w:pPr>
      <w:r w:rsidRPr="00266245">
        <w:rPr>
          <w:rFonts w:asciiTheme="minorBidi" w:hAnsiTheme="minorBidi" w:cstheme="minorBidi"/>
        </w:rPr>
        <w:t xml:space="preserve">Berger, Peter. 1999 </w:t>
      </w:r>
      <w:r w:rsidRPr="00266245">
        <w:rPr>
          <w:rFonts w:asciiTheme="minorBidi" w:hAnsiTheme="minorBidi" w:cstheme="minorBidi"/>
          <w:i/>
          <w:iCs/>
        </w:rPr>
        <w:t xml:space="preserve">The </w:t>
      </w:r>
      <w:proofErr w:type="spellStart"/>
      <w:r w:rsidRPr="00266245">
        <w:rPr>
          <w:rFonts w:asciiTheme="minorBidi" w:hAnsiTheme="minorBidi" w:cstheme="minorBidi"/>
          <w:i/>
          <w:iCs/>
        </w:rPr>
        <w:t>Desecularization</w:t>
      </w:r>
      <w:proofErr w:type="spellEnd"/>
      <w:r w:rsidRPr="00266245">
        <w:rPr>
          <w:rFonts w:asciiTheme="minorBidi" w:hAnsiTheme="minorBidi" w:cstheme="minorBidi"/>
          <w:i/>
          <w:iCs/>
        </w:rPr>
        <w:t xml:space="preserve"> of the World, Resurgent Religion and World Politics</w:t>
      </w:r>
      <w:r w:rsidRPr="00266245">
        <w:rPr>
          <w:rFonts w:asciiTheme="minorBidi" w:hAnsiTheme="minorBidi" w:cstheme="minorBidi"/>
        </w:rPr>
        <w:t xml:space="preserve">. </w:t>
      </w:r>
      <w:smartTag w:uri="urn:schemas-microsoft-com:office:smarttags" w:element="City">
        <w:r w:rsidRPr="00266245">
          <w:rPr>
            <w:rFonts w:asciiTheme="minorBidi" w:hAnsiTheme="minorBidi" w:cstheme="minorBidi"/>
          </w:rPr>
          <w:t>Washington</w:t>
        </w:r>
      </w:smartTag>
      <w:r w:rsidRPr="00266245">
        <w:rPr>
          <w:rFonts w:asciiTheme="minorBidi" w:hAnsiTheme="minorBidi" w:cstheme="minorBidi"/>
        </w:rPr>
        <w:t xml:space="preserve"> </w:t>
      </w:r>
      <w:smartTag w:uri="urn:schemas-microsoft-com:office:smarttags" w:element="State">
        <w:r w:rsidRPr="00266245">
          <w:rPr>
            <w:rFonts w:asciiTheme="minorBidi" w:hAnsiTheme="minorBidi" w:cstheme="minorBidi"/>
          </w:rPr>
          <w:t>DC</w:t>
        </w:r>
      </w:smartTag>
      <w:r w:rsidRPr="00266245">
        <w:rPr>
          <w:rFonts w:asciiTheme="minorBidi" w:hAnsiTheme="minorBidi" w:cstheme="minorBidi"/>
        </w:rPr>
        <w:t xml:space="preserve">: Ethics and </w:t>
      </w:r>
      <w:smartTag w:uri="urn:schemas-microsoft-com:office:smarttags" w:element="place">
        <w:smartTag w:uri="urn:schemas-microsoft-com:office:smarttags" w:element="PlaceName">
          <w:r w:rsidRPr="00266245">
            <w:rPr>
              <w:rFonts w:asciiTheme="minorBidi" w:hAnsiTheme="minorBidi" w:cstheme="minorBidi"/>
            </w:rPr>
            <w:t>Public</w:t>
          </w:r>
        </w:smartTag>
        <w:r w:rsidRPr="00266245">
          <w:rPr>
            <w:rFonts w:asciiTheme="minorBidi" w:hAnsiTheme="minorBidi" w:cstheme="minorBidi"/>
          </w:rPr>
          <w:t xml:space="preserve"> </w:t>
        </w:r>
        <w:smartTag w:uri="urn:schemas-microsoft-com:office:smarttags" w:element="PlaceName">
          <w:r w:rsidRPr="00266245">
            <w:rPr>
              <w:rFonts w:asciiTheme="minorBidi" w:hAnsiTheme="minorBidi" w:cstheme="minorBidi"/>
            </w:rPr>
            <w:t>Policy</w:t>
          </w:r>
        </w:smartTag>
        <w:r w:rsidRPr="00266245">
          <w:rPr>
            <w:rFonts w:asciiTheme="minorBidi" w:hAnsiTheme="minorBidi" w:cstheme="minorBidi"/>
          </w:rPr>
          <w:t xml:space="preserve"> </w:t>
        </w:r>
        <w:smartTag w:uri="urn:schemas-microsoft-com:office:smarttags" w:element="PlaceType">
          <w:r w:rsidRPr="00266245">
            <w:rPr>
              <w:rFonts w:asciiTheme="minorBidi" w:hAnsiTheme="minorBidi" w:cstheme="minorBidi"/>
            </w:rPr>
            <w:t>Center</w:t>
          </w:r>
        </w:smartTag>
      </w:smartTag>
      <w:r w:rsidRPr="00266245">
        <w:rPr>
          <w:rFonts w:asciiTheme="minorBidi" w:hAnsiTheme="minorBidi" w:cstheme="minorBidi"/>
        </w:rPr>
        <w:t>.</w:t>
      </w:r>
    </w:p>
    <w:p w14:paraId="7E1FB2EA" w14:textId="77777777" w:rsidR="00266245" w:rsidRPr="00266245" w:rsidRDefault="00266245" w:rsidP="00266245">
      <w:pPr>
        <w:bidi w:val="0"/>
        <w:rPr>
          <w:rFonts w:asciiTheme="minorBidi" w:hAnsiTheme="minorBidi" w:cstheme="minorBidi"/>
        </w:rPr>
      </w:pPr>
    </w:p>
    <w:p w14:paraId="7E1FB2EB" w14:textId="77777777" w:rsidR="00F7303E" w:rsidRDefault="00F7303E" w:rsidP="00266245">
      <w:pPr>
        <w:bidi w:val="0"/>
        <w:rPr>
          <w:rFonts w:asciiTheme="minorBidi" w:hAnsiTheme="minorBidi" w:cstheme="minorBidi"/>
        </w:rPr>
      </w:pPr>
      <w:r w:rsidRPr="00266245">
        <w:rPr>
          <w:rFonts w:asciiTheme="minorBidi" w:hAnsiTheme="minorBidi" w:cstheme="minorBidi"/>
        </w:rPr>
        <w:t xml:space="preserve">Chaves, Mark. 1994. Secularization as Declining Religious Authority. </w:t>
      </w:r>
      <w:r w:rsidRPr="00266245">
        <w:rPr>
          <w:rFonts w:asciiTheme="minorBidi" w:hAnsiTheme="minorBidi" w:cstheme="minorBidi"/>
          <w:i/>
          <w:iCs/>
        </w:rPr>
        <w:t>Social Forces</w:t>
      </w:r>
      <w:r w:rsidRPr="00266245">
        <w:rPr>
          <w:rFonts w:asciiTheme="minorBidi" w:hAnsiTheme="minorBidi" w:cstheme="minorBidi"/>
        </w:rPr>
        <w:t xml:space="preserve"> 72, 3: 749-774.</w:t>
      </w:r>
    </w:p>
    <w:p w14:paraId="7E1FB2EC" w14:textId="77777777" w:rsidR="00266245" w:rsidRPr="00266245" w:rsidRDefault="00266245" w:rsidP="00266245">
      <w:pPr>
        <w:bidi w:val="0"/>
        <w:rPr>
          <w:rFonts w:asciiTheme="minorBidi" w:hAnsiTheme="minorBidi" w:cstheme="minorBidi"/>
        </w:rPr>
      </w:pPr>
    </w:p>
    <w:p w14:paraId="7E1FB2ED" w14:textId="77777777" w:rsidR="00266245" w:rsidRPr="00266245" w:rsidRDefault="00266245" w:rsidP="00266245">
      <w:pPr>
        <w:bidi w:val="0"/>
        <w:rPr>
          <w:rFonts w:asciiTheme="minorBidi" w:hAnsiTheme="minorBidi" w:cstheme="minorBidi"/>
        </w:rPr>
      </w:pPr>
      <w:r w:rsidRPr="00266245">
        <w:rPr>
          <w:rFonts w:asciiTheme="minorBidi" w:hAnsiTheme="minorBidi" w:cstheme="minorBidi"/>
        </w:rPr>
        <w:t xml:space="preserve">Pippa Norris and Ronald </w:t>
      </w:r>
      <w:proofErr w:type="spellStart"/>
      <w:r w:rsidRPr="00266245">
        <w:rPr>
          <w:rFonts w:asciiTheme="minorBidi" w:hAnsiTheme="minorBidi" w:cstheme="minorBidi"/>
        </w:rPr>
        <w:t>Ingelhart</w:t>
      </w:r>
      <w:proofErr w:type="spellEnd"/>
      <w:r w:rsidRPr="00266245">
        <w:rPr>
          <w:rFonts w:asciiTheme="minorBidi" w:hAnsiTheme="minorBidi" w:cstheme="minorBidi"/>
        </w:rPr>
        <w:t xml:space="preserve">, </w:t>
      </w:r>
      <w:r w:rsidRPr="00266245">
        <w:rPr>
          <w:rFonts w:asciiTheme="minorBidi" w:hAnsiTheme="minorBidi" w:cstheme="minorBidi"/>
          <w:i/>
          <w:iCs/>
        </w:rPr>
        <w:t>Sacred and Secular</w:t>
      </w:r>
      <w:r w:rsidRPr="00266245">
        <w:rPr>
          <w:rFonts w:asciiTheme="minorBidi" w:hAnsiTheme="minorBidi" w:cstheme="minorBidi"/>
        </w:rPr>
        <w:t xml:space="preserve"> (</w:t>
      </w:r>
      <w:smartTag w:uri="urn:schemas-microsoft-com:office:smarttags" w:element="City">
        <w:r w:rsidRPr="00266245">
          <w:rPr>
            <w:rFonts w:asciiTheme="minorBidi" w:hAnsiTheme="minorBidi" w:cstheme="minorBidi"/>
          </w:rPr>
          <w:t>Cambridge</w:t>
        </w:r>
      </w:smartTag>
      <w:r w:rsidRPr="00266245">
        <w:rPr>
          <w:rFonts w:asciiTheme="minorBidi" w:hAnsiTheme="minorBidi" w:cstheme="minorBidi"/>
        </w:rPr>
        <w:t xml:space="preserve">: </w:t>
      </w:r>
      <w:smartTag w:uri="urn:schemas-microsoft-com:office:smarttags" w:element="place">
        <w:smartTag w:uri="urn:schemas-microsoft-com:office:smarttags" w:element="PlaceName">
          <w:r w:rsidRPr="00266245">
            <w:rPr>
              <w:rFonts w:asciiTheme="minorBidi" w:hAnsiTheme="minorBidi" w:cstheme="minorBidi"/>
            </w:rPr>
            <w:t>Cambridge</w:t>
          </w:r>
        </w:smartTag>
        <w:r w:rsidRPr="00266245">
          <w:rPr>
            <w:rFonts w:asciiTheme="minorBidi" w:hAnsiTheme="minorBidi" w:cstheme="minorBidi"/>
          </w:rPr>
          <w:t xml:space="preserve"> </w:t>
        </w:r>
        <w:smartTag w:uri="urn:schemas-microsoft-com:office:smarttags" w:element="PlaceType">
          <w:r w:rsidRPr="00266245">
            <w:rPr>
              <w:rFonts w:asciiTheme="minorBidi" w:hAnsiTheme="minorBidi" w:cstheme="minorBidi"/>
            </w:rPr>
            <w:t>University</w:t>
          </w:r>
        </w:smartTag>
      </w:smartTag>
      <w:r w:rsidRPr="00266245">
        <w:rPr>
          <w:rFonts w:asciiTheme="minorBidi" w:hAnsiTheme="minorBidi" w:cstheme="minorBidi"/>
        </w:rPr>
        <w:t xml:space="preserve"> Press, 2004).</w:t>
      </w:r>
    </w:p>
    <w:p w14:paraId="7E1FB2EE" w14:textId="77777777" w:rsidR="00266245" w:rsidRPr="00266245" w:rsidRDefault="00266245" w:rsidP="00266245">
      <w:pPr>
        <w:pStyle w:val="EndnoteText"/>
        <w:bidi w:val="0"/>
        <w:rPr>
          <w:rFonts w:asciiTheme="minorBidi" w:hAnsiTheme="minorBidi" w:cstheme="minorBidi"/>
          <w:sz w:val="24"/>
          <w:szCs w:val="24"/>
        </w:rPr>
      </w:pPr>
    </w:p>
    <w:p w14:paraId="7E1FB2EF" w14:textId="77777777" w:rsidR="00F7303E" w:rsidRDefault="00F7303E" w:rsidP="00266245">
      <w:pPr>
        <w:bidi w:val="0"/>
        <w:rPr>
          <w:rFonts w:asciiTheme="minorBidi" w:hAnsiTheme="minorBidi" w:cstheme="minorBidi"/>
          <w:i/>
          <w:iCs/>
        </w:rPr>
      </w:pPr>
      <w:r w:rsidRPr="00266245">
        <w:rPr>
          <w:rFonts w:asciiTheme="minorBidi" w:hAnsiTheme="minorBidi" w:cstheme="minorBidi"/>
        </w:rPr>
        <w:t xml:space="preserve">Gruber, Jonathan and Daniel M. </w:t>
      </w:r>
      <w:proofErr w:type="spellStart"/>
      <w:r w:rsidRPr="00266245">
        <w:rPr>
          <w:rFonts w:asciiTheme="minorBidi" w:hAnsiTheme="minorBidi" w:cstheme="minorBidi"/>
        </w:rPr>
        <w:t>Hungerman</w:t>
      </w:r>
      <w:proofErr w:type="spellEnd"/>
      <w:r w:rsidRPr="00266245">
        <w:rPr>
          <w:rFonts w:asciiTheme="minorBidi" w:hAnsiTheme="minorBidi" w:cstheme="minorBidi"/>
        </w:rPr>
        <w:t xml:space="preserve">. 2006. The Church Vs. the Mall: What Happens When Religion Faces Increased Secular Competition. </w:t>
      </w:r>
      <w:r w:rsidRPr="00266245">
        <w:rPr>
          <w:rFonts w:asciiTheme="minorBidi" w:hAnsiTheme="minorBidi" w:cstheme="minorBidi"/>
          <w:i/>
          <w:iCs/>
        </w:rPr>
        <w:t>NBER Working Paper 12410.</w:t>
      </w:r>
    </w:p>
    <w:p w14:paraId="7E1FB2F0" w14:textId="77777777" w:rsidR="00266245" w:rsidRPr="00266245" w:rsidRDefault="00266245" w:rsidP="00266245">
      <w:pPr>
        <w:bidi w:val="0"/>
        <w:rPr>
          <w:rFonts w:asciiTheme="minorBidi" w:hAnsiTheme="minorBidi" w:cstheme="minorBidi"/>
          <w:i/>
          <w:iCs/>
        </w:rPr>
      </w:pPr>
    </w:p>
    <w:p w14:paraId="7E1FB2F1" w14:textId="77777777" w:rsidR="00266245" w:rsidRDefault="00266245" w:rsidP="00266245">
      <w:pPr>
        <w:pStyle w:val="EndnoteText"/>
        <w:bidi w:val="0"/>
        <w:rPr>
          <w:rFonts w:asciiTheme="minorBidi" w:hAnsiTheme="minorBidi" w:cstheme="minorBidi"/>
          <w:sz w:val="24"/>
          <w:szCs w:val="24"/>
        </w:rPr>
      </w:pPr>
      <w:r w:rsidRPr="00266245">
        <w:rPr>
          <w:rFonts w:asciiTheme="minorBidi" w:hAnsiTheme="minorBidi" w:cstheme="minorBidi"/>
          <w:sz w:val="24"/>
          <w:szCs w:val="24"/>
        </w:rPr>
        <w:t xml:space="preserve">Karl </w:t>
      </w:r>
      <w:proofErr w:type="spellStart"/>
      <w:r w:rsidRPr="00266245">
        <w:rPr>
          <w:rFonts w:asciiTheme="minorBidi" w:hAnsiTheme="minorBidi" w:cstheme="minorBidi"/>
          <w:sz w:val="24"/>
          <w:szCs w:val="24"/>
        </w:rPr>
        <w:t>Dobbelaere</w:t>
      </w:r>
      <w:proofErr w:type="spellEnd"/>
      <w:r w:rsidRPr="00266245">
        <w:rPr>
          <w:rFonts w:asciiTheme="minorBidi" w:hAnsiTheme="minorBidi" w:cstheme="minorBidi"/>
          <w:sz w:val="24"/>
          <w:szCs w:val="24"/>
        </w:rPr>
        <w:t xml:space="preserve">, "Secularization: A Multi-dimensional Concept" </w:t>
      </w:r>
      <w:r w:rsidRPr="00266245">
        <w:rPr>
          <w:rFonts w:asciiTheme="minorBidi" w:hAnsiTheme="minorBidi" w:cstheme="minorBidi"/>
          <w:i/>
          <w:iCs/>
          <w:sz w:val="24"/>
          <w:szCs w:val="24"/>
        </w:rPr>
        <w:t>Current Sociology</w:t>
      </w:r>
      <w:r w:rsidRPr="00266245">
        <w:rPr>
          <w:rFonts w:asciiTheme="minorBidi" w:hAnsiTheme="minorBidi" w:cstheme="minorBidi"/>
          <w:sz w:val="24"/>
          <w:szCs w:val="24"/>
        </w:rPr>
        <w:t xml:space="preserve"> 29,2 (March 1981), 3-153</w:t>
      </w:r>
    </w:p>
    <w:p w14:paraId="7E1FB2F2" w14:textId="77777777" w:rsidR="00266245" w:rsidRPr="00266245" w:rsidRDefault="00266245" w:rsidP="00266245">
      <w:pPr>
        <w:pStyle w:val="EndnoteText"/>
        <w:bidi w:val="0"/>
        <w:rPr>
          <w:rFonts w:asciiTheme="minorBidi" w:hAnsiTheme="minorBidi" w:cstheme="minorBidi"/>
          <w:sz w:val="24"/>
          <w:szCs w:val="24"/>
        </w:rPr>
      </w:pPr>
    </w:p>
    <w:p w14:paraId="7E1FB2F3" w14:textId="77777777" w:rsidR="00F7303E" w:rsidRDefault="00F7303E" w:rsidP="00266245">
      <w:pPr>
        <w:bidi w:val="0"/>
        <w:rPr>
          <w:rFonts w:asciiTheme="minorBidi" w:hAnsiTheme="minorBidi" w:cstheme="minorBidi"/>
          <w:i/>
          <w:iCs/>
        </w:rPr>
      </w:pPr>
      <w:r w:rsidRPr="00266245">
        <w:rPr>
          <w:rFonts w:asciiTheme="minorBidi" w:hAnsiTheme="minorBidi" w:cstheme="minorBidi"/>
        </w:rPr>
        <w:t xml:space="preserve">Hunt, Stephen. 2005. </w:t>
      </w:r>
      <w:r w:rsidRPr="00266245">
        <w:rPr>
          <w:rFonts w:asciiTheme="minorBidi" w:hAnsiTheme="minorBidi" w:cstheme="minorBidi"/>
          <w:i/>
          <w:iCs/>
        </w:rPr>
        <w:t>Religion and Everyday Life</w:t>
      </w:r>
      <w:r w:rsidRPr="00266245">
        <w:rPr>
          <w:rFonts w:asciiTheme="minorBidi" w:hAnsiTheme="minorBidi" w:cstheme="minorBidi"/>
        </w:rPr>
        <w:t xml:space="preserve">. </w:t>
      </w:r>
      <w:smartTag w:uri="urn:schemas-microsoft-com:office:smarttags" w:element="place">
        <w:smartTag w:uri="urn:schemas-microsoft-com:office:smarttags" w:element="City">
          <w:r w:rsidRPr="00266245">
            <w:rPr>
              <w:rFonts w:asciiTheme="minorBidi" w:hAnsiTheme="minorBidi" w:cstheme="minorBidi"/>
            </w:rPr>
            <w:t>London</w:t>
          </w:r>
        </w:smartTag>
      </w:smartTag>
      <w:r w:rsidRPr="00266245">
        <w:rPr>
          <w:rFonts w:asciiTheme="minorBidi" w:hAnsiTheme="minorBidi" w:cstheme="minorBidi"/>
        </w:rPr>
        <w:t>: Routledge</w:t>
      </w:r>
    </w:p>
    <w:p w14:paraId="7E1FB2F4" w14:textId="77777777" w:rsidR="00266245" w:rsidRPr="00266245" w:rsidRDefault="00266245" w:rsidP="00266245">
      <w:pPr>
        <w:bidi w:val="0"/>
        <w:rPr>
          <w:rFonts w:asciiTheme="minorBidi" w:hAnsiTheme="minorBidi" w:cstheme="minorBidi"/>
          <w:i/>
          <w:iCs/>
        </w:rPr>
      </w:pPr>
    </w:p>
    <w:p w14:paraId="7E1FB2F5" w14:textId="77777777" w:rsidR="00266245" w:rsidRDefault="00F7303E" w:rsidP="00266245">
      <w:pPr>
        <w:bidi w:val="0"/>
        <w:rPr>
          <w:rFonts w:asciiTheme="minorBidi" w:hAnsiTheme="minorBidi" w:cstheme="minorBidi"/>
        </w:rPr>
      </w:pPr>
      <w:proofErr w:type="spellStart"/>
      <w:r w:rsidRPr="00266245">
        <w:rPr>
          <w:rFonts w:asciiTheme="minorBidi" w:hAnsiTheme="minorBidi" w:cstheme="minorBidi"/>
        </w:rPr>
        <w:t>Swatos</w:t>
      </w:r>
      <w:proofErr w:type="spellEnd"/>
      <w:r w:rsidRPr="00266245">
        <w:rPr>
          <w:rFonts w:asciiTheme="minorBidi" w:hAnsiTheme="minorBidi" w:cstheme="minorBidi"/>
        </w:rPr>
        <w:t xml:space="preserve">, William H. Jr. and Kevin J. </w:t>
      </w:r>
      <w:proofErr w:type="spellStart"/>
      <w:r w:rsidRPr="00266245">
        <w:rPr>
          <w:rFonts w:asciiTheme="minorBidi" w:hAnsiTheme="minorBidi" w:cstheme="minorBidi"/>
        </w:rPr>
        <w:t>Christiano</w:t>
      </w:r>
      <w:proofErr w:type="spellEnd"/>
      <w:r w:rsidRPr="00266245">
        <w:rPr>
          <w:rFonts w:asciiTheme="minorBidi" w:hAnsiTheme="minorBidi" w:cstheme="minorBidi"/>
        </w:rPr>
        <w:t xml:space="preserve">. 1999. Secularization Theory: The Course of a Concept. </w:t>
      </w:r>
      <w:r w:rsidRPr="00266245">
        <w:rPr>
          <w:rFonts w:asciiTheme="minorBidi" w:hAnsiTheme="minorBidi" w:cstheme="minorBidi"/>
          <w:i/>
          <w:iCs/>
        </w:rPr>
        <w:t>Sociology of Religion</w:t>
      </w:r>
      <w:r w:rsidRPr="00266245">
        <w:rPr>
          <w:rFonts w:asciiTheme="minorBidi" w:hAnsiTheme="minorBidi" w:cstheme="minorBidi"/>
        </w:rPr>
        <w:t xml:space="preserve"> 60,3: 209-228</w:t>
      </w:r>
    </w:p>
    <w:p w14:paraId="7E1FB2F6" w14:textId="77777777" w:rsidR="00F7303E" w:rsidRPr="00266245" w:rsidRDefault="00F7303E" w:rsidP="00266245">
      <w:pPr>
        <w:bidi w:val="0"/>
        <w:rPr>
          <w:rFonts w:asciiTheme="minorBidi" w:hAnsiTheme="minorBidi" w:cstheme="minorBidi"/>
        </w:rPr>
      </w:pPr>
      <w:r w:rsidRPr="00266245">
        <w:rPr>
          <w:rFonts w:asciiTheme="minorBidi" w:hAnsiTheme="minorBidi" w:cstheme="minorBidi"/>
        </w:rPr>
        <w:t>.</w:t>
      </w:r>
    </w:p>
    <w:p w14:paraId="7E1FB2F7" w14:textId="77777777" w:rsidR="00130F21" w:rsidRDefault="00130F21" w:rsidP="00266245">
      <w:pPr>
        <w:rPr>
          <w:rFonts w:asciiTheme="minorBidi" w:hAnsiTheme="minorBidi" w:cstheme="minorBidi"/>
          <w:rtl/>
        </w:rPr>
      </w:pPr>
      <w:r w:rsidRPr="00266245">
        <w:rPr>
          <w:rFonts w:asciiTheme="minorBidi" w:hAnsiTheme="minorBidi" w:cstheme="minorBidi"/>
          <w:rtl/>
        </w:rPr>
        <w:t>אלוני, שולמית. 2007. המעמד האישי בישראל. בתוך</w:t>
      </w:r>
      <w:r w:rsidRPr="00266245">
        <w:rPr>
          <w:rFonts w:asciiTheme="minorBidi" w:hAnsiTheme="minorBidi" w:cstheme="minorBidi"/>
          <w:i/>
          <w:iCs/>
          <w:rtl/>
        </w:rPr>
        <w:t xml:space="preserve"> זמן יהודי חדש</w:t>
      </w:r>
      <w:r w:rsidRPr="00266245">
        <w:rPr>
          <w:rFonts w:asciiTheme="minorBidi" w:hAnsiTheme="minorBidi" w:cstheme="minorBidi"/>
          <w:rtl/>
        </w:rPr>
        <w:t>, ער'. ירמיהו יובל. כתר.</w:t>
      </w:r>
    </w:p>
    <w:p w14:paraId="7E1FB2F8" w14:textId="77777777" w:rsidR="00266245" w:rsidRPr="00266245" w:rsidRDefault="00266245" w:rsidP="00266245">
      <w:pPr>
        <w:rPr>
          <w:rFonts w:asciiTheme="minorBidi" w:hAnsiTheme="minorBidi" w:cstheme="minorBidi"/>
          <w:rtl/>
        </w:rPr>
      </w:pPr>
    </w:p>
    <w:p w14:paraId="7E1FB2F9" w14:textId="77777777" w:rsidR="00F7303E" w:rsidRDefault="00130F21" w:rsidP="00266245">
      <w:pPr>
        <w:rPr>
          <w:rFonts w:asciiTheme="minorBidi" w:hAnsiTheme="minorBidi" w:cstheme="minorBidi"/>
          <w:i/>
          <w:iCs/>
          <w:rtl/>
        </w:rPr>
      </w:pPr>
      <w:r w:rsidRPr="00266245">
        <w:rPr>
          <w:rFonts w:asciiTheme="minorBidi" w:hAnsiTheme="minorBidi" w:cstheme="minorBidi"/>
          <w:rtl/>
        </w:rPr>
        <w:t xml:space="preserve">ברק ארז, דפנה. 2003. גלגולו של חזיר: מסמל לאומי לאינטרס דתי?. </w:t>
      </w:r>
      <w:r w:rsidRPr="00266245">
        <w:rPr>
          <w:rFonts w:asciiTheme="minorBidi" w:hAnsiTheme="minorBidi" w:cstheme="minorBidi"/>
          <w:i/>
          <w:iCs/>
          <w:rtl/>
        </w:rPr>
        <w:t>משפטים,</w:t>
      </w:r>
      <w:r w:rsidRPr="00266245">
        <w:rPr>
          <w:rFonts w:asciiTheme="minorBidi" w:hAnsiTheme="minorBidi" w:cstheme="minorBidi"/>
          <w:rtl/>
        </w:rPr>
        <w:t xml:space="preserve"> לג: 403 – 475.</w:t>
      </w:r>
    </w:p>
    <w:p w14:paraId="7E1FB2FA" w14:textId="77777777" w:rsidR="00266245" w:rsidRPr="00266245" w:rsidRDefault="00266245" w:rsidP="00266245">
      <w:pPr>
        <w:rPr>
          <w:rFonts w:asciiTheme="minorBidi" w:hAnsiTheme="minorBidi" w:cstheme="minorBidi"/>
          <w:i/>
          <w:iCs/>
          <w:rtl/>
        </w:rPr>
      </w:pPr>
    </w:p>
    <w:p w14:paraId="7E1FB2FB" w14:textId="77777777" w:rsidR="00130F21" w:rsidRDefault="00130F21" w:rsidP="00266245">
      <w:pPr>
        <w:rPr>
          <w:rFonts w:asciiTheme="minorBidi" w:hAnsiTheme="minorBidi" w:cstheme="minorBidi"/>
          <w:i/>
          <w:iCs/>
          <w:rtl/>
        </w:rPr>
      </w:pPr>
      <w:r w:rsidRPr="00266245">
        <w:rPr>
          <w:rFonts w:asciiTheme="minorBidi" w:hAnsiTheme="minorBidi" w:cstheme="minorBidi"/>
          <w:rtl/>
        </w:rPr>
        <w:t xml:space="preserve">דון-יחיא, אליעזר. 1997. </w:t>
      </w:r>
      <w:r w:rsidRPr="00266245">
        <w:rPr>
          <w:rFonts w:asciiTheme="minorBidi" w:hAnsiTheme="minorBidi" w:cstheme="minorBidi"/>
          <w:i/>
          <w:iCs/>
          <w:rtl/>
        </w:rPr>
        <w:t>הפוליטיקה של ההסדרה: יישוב סכסוכים בנושאי דת בישראל.</w:t>
      </w:r>
      <w:r w:rsidRPr="00266245">
        <w:rPr>
          <w:rFonts w:asciiTheme="minorBidi" w:hAnsiTheme="minorBidi" w:cstheme="minorBidi"/>
          <w:rtl/>
        </w:rPr>
        <w:t xml:space="preserve"> ירושלים: מכון פלורסהיימר למחקרי מדיניות.</w:t>
      </w:r>
    </w:p>
    <w:p w14:paraId="7E1FB2FC" w14:textId="77777777" w:rsidR="00266245" w:rsidRPr="00266245" w:rsidRDefault="00266245" w:rsidP="00266245">
      <w:pPr>
        <w:rPr>
          <w:rFonts w:asciiTheme="minorBidi" w:hAnsiTheme="minorBidi" w:cstheme="minorBidi"/>
          <w:i/>
          <w:iCs/>
          <w:rtl/>
        </w:rPr>
      </w:pPr>
    </w:p>
    <w:p w14:paraId="7E1FB2FD" w14:textId="77777777" w:rsidR="00130F21" w:rsidRDefault="00130F21" w:rsidP="00266245">
      <w:pPr>
        <w:rPr>
          <w:rFonts w:asciiTheme="minorBidi" w:hAnsiTheme="minorBidi" w:cstheme="minorBidi"/>
          <w:rtl/>
        </w:rPr>
      </w:pPr>
      <w:r w:rsidRPr="00266245">
        <w:rPr>
          <w:rFonts w:asciiTheme="minorBidi" w:hAnsiTheme="minorBidi" w:cstheme="minorBidi"/>
          <w:i/>
          <w:iCs/>
          <w:rtl/>
        </w:rPr>
        <w:t>יחסי חילונים-דתיים: עמדות, הצעות, אמנות</w:t>
      </w:r>
      <w:r w:rsidRPr="00266245">
        <w:rPr>
          <w:rFonts w:asciiTheme="minorBidi" w:hAnsiTheme="minorBidi" w:cstheme="minorBidi"/>
          <w:rtl/>
        </w:rPr>
        <w:t>, ער'. אורי דרומי. ירושלים: המכון הישראלי לדמוקרטיה.</w:t>
      </w:r>
    </w:p>
    <w:p w14:paraId="7E1FB2FE" w14:textId="77777777" w:rsidR="00266245" w:rsidRPr="00266245" w:rsidRDefault="00266245" w:rsidP="00266245">
      <w:pPr>
        <w:rPr>
          <w:rFonts w:asciiTheme="minorBidi" w:hAnsiTheme="minorBidi" w:cstheme="minorBidi"/>
          <w:rtl/>
        </w:rPr>
      </w:pPr>
    </w:p>
    <w:p w14:paraId="7E1FB2FF" w14:textId="77777777" w:rsidR="00130F21" w:rsidRDefault="00130F21" w:rsidP="00266245">
      <w:pPr>
        <w:rPr>
          <w:rFonts w:asciiTheme="minorBidi" w:hAnsiTheme="minorBidi" w:cstheme="minorBidi"/>
          <w:rtl/>
        </w:rPr>
      </w:pPr>
      <w:r w:rsidRPr="00266245">
        <w:rPr>
          <w:rFonts w:asciiTheme="minorBidi" w:hAnsiTheme="minorBidi" w:cstheme="minorBidi"/>
          <w:rtl/>
        </w:rPr>
        <w:t xml:space="preserve">לוי, שלומית. 2004. השבת הפרטית והשבת הציבורית בישראל. בתוך </w:t>
      </w:r>
      <w:r w:rsidRPr="00266245">
        <w:rPr>
          <w:rFonts w:asciiTheme="minorBidi" w:hAnsiTheme="minorBidi" w:cstheme="minorBidi"/>
          <w:i/>
          <w:iCs/>
          <w:rtl/>
        </w:rPr>
        <w:t>שבת – רעיון, היסטוריה, מציאות</w:t>
      </w:r>
      <w:r w:rsidRPr="00266245">
        <w:rPr>
          <w:rFonts w:asciiTheme="minorBidi" w:hAnsiTheme="minorBidi" w:cstheme="minorBidi"/>
          <w:rtl/>
        </w:rPr>
        <w:t>, ער'. יעקב בלידשטיין. באר שבע: הוצאת בן-גוריון.</w:t>
      </w:r>
    </w:p>
    <w:p w14:paraId="7E1FB300" w14:textId="77777777" w:rsidR="00266245" w:rsidRPr="00266245" w:rsidRDefault="00266245" w:rsidP="00266245">
      <w:pPr>
        <w:rPr>
          <w:rFonts w:asciiTheme="minorBidi" w:hAnsiTheme="minorBidi" w:cstheme="minorBidi"/>
          <w:rtl/>
        </w:rPr>
      </w:pPr>
    </w:p>
    <w:p w14:paraId="7E1FB301" w14:textId="77777777" w:rsidR="00130F21" w:rsidRDefault="00130F21" w:rsidP="00266245">
      <w:pPr>
        <w:rPr>
          <w:rFonts w:asciiTheme="minorBidi" w:hAnsiTheme="minorBidi" w:cstheme="minorBidi"/>
          <w:i/>
          <w:iCs/>
          <w:rtl/>
        </w:rPr>
      </w:pPr>
      <w:r w:rsidRPr="00266245">
        <w:rPr>
          <w:rFonts w:asciiTheme="minorBidi" w:hAnsiTheme="minorBidi" w:cstheme="minorBidi"/>
          <w:rtl/>
        </w:rPr>
        <w:t xml:space="preserve">פרידמן, מנחם. 2005. ואלה תולדות הסטטוס-קוו: דת ומדינה בישראל. בתוך </w:t>
      </w:r>
      <w:r w:rsidRPr="00266245">
        <w:rPr>
          <w:rFonts w:asciiTheme="minorBidi" w:hAnsiTheme="minorBidi" w:cstheme="minorBidi"/>
          <w:i/>
          <w:iCs/>
          <w:rtl/>
        </w:rPr>
        <w:t>שבת אחים, יחסי חילונים-דתיים: עמדות, הצעות, אמנות,</w:t>
      </w:r>
      <w:r w:rsidRPr="00266245">
        <w:rPr>
          <w:rFonts w:asciiTheme="minorBidi" w:hAnsiTheme="minorBidi" w:cstheme="minorBidi"/>
          <w:rtl/>
        </w:rPr>
        <w:t xml:space="preserve"> ער'. אורי דרומי. ירושלים: המכון הישראלי לדמוקרטיה.</w:t>
      </w:r>
    </w:p>
    <w:p w14:paraId="7E1FB302" w14:textId="77777777" w:rsidR="00266245" w:rsidRPr="00266245" w:rsidRDefault="00266245" w:rsidP="00266245">
      <w:pPr>
        <w:rPr>
          <w:rFonts w:asciiTheme="minorBidi" w:hAnsiTheme="minorBidi" w:cstheme="minorBidi"/>
          <w:i/>
          <w:iCs/>
          <w:rtl/>
        </w:rPr>
      </w:pPr>
    </w:p>
    <w:p w14:paraId="7E1FB303" w14:textId="77777777" w:rsidR="00130F21" w:rsidRPr="00266245" w:rsidRDefault="00130F21" w:rsidP="00266245">
      <w:pPr>
        <w:rPr>
          <w:rFonts w:asciiTheme="minorBidi" w:hAnsiTheme="minorBidi" w:cstheme="minorBidi"/>
          <w:rtl/>
        </w:rPr>
      </w:pPr>
      <w:r w:rsidRPr="00266245">
        <w:rPr>
          <w:rFonts w:asciiTheme="minorBidi" w:hAnsiTheme="minorBidi" w:cstheme="minorBidi"/>
          <w:rtl/>
        </w:rPr>
        <w:t xml:space="preserve">שיפמן, פנחס. 1995. </w:t>
      </w:r>
      <w:r w:rsidRPr="00266245">
        <w:rPr>
          <w:rFonts w:asciiTheme="minorBidi" w:hAnsiTheme="minorBidi" w:cstheme="minorBidi"/>
          <w:i/>
          <w:iCs/>
          <w:rtl/>
        </w:rPr>
        <w:t xml:space="preserve">מי מפחד מנישואין אזרחיים?. </w:t>
      </w:r>
      <w:r w:rsidRPr="00266245">
        <w:rPr>
          <w:rFonts w:asciiTheme="minorBidi" w:hAnsiTheme="minorBidi" w:cstheme="minorBidi"/>
          <w:rtl/>
        </w:rPr>
        <w:t>מכון ירושלים לחקר ישראל.</w:t>
      </w:r>
    </w:p>
    <w:p w14:paraId="7E1FB304" w14:textId="77777777" w:rsidR="00E5129F" w:rsidRDefault="00E5129F" w:rsidP="00266245">
      <w:pPr>
        <w:rPr>
          <w:rFonts w:asciiTheme="minorBidi" w:hAnsiTheme="minorBidi" w:cstheme="minorBidi"/>
          <w:rtl/>
        </w:rPr>
      </w:pPr>
    </w:p>
    <w:p w14:paraId="7E1FB305" w14:textId="77777777" w:rsidR="00130F21" w:rsidRDefault="00130F21" w:rsidP="00266245">
      <w:pPr>
        <w:rPr>
          <w:rFonts w:asciiTheme="minorBidi" w:hAnsiTheme="minorBidi" w:cstheme="minorBidi"/>
          <w:rtl/>
        </w:rPr>
      </w:pPr>
      <w:r w:rsidRPr="00266245">
        <w:rPr>
          <w:rFonts w:asciiTheme="minorBidi" w:hAnsiTheme="minorBidi" w:cstheme="minorBidi"/>
          <w:rtl/>
        </w:rPr>
        <w:t xml:space="preserve">כהן, אשר וברוך זיסר. 2003. </w:t>
      </w:r>
      <w:r w:rsidRPr="00266245">
        <w:rPr>
          <w:rFonts w:asciiTheme="minorBidi" w:hAnsiTheme="minorBidi" w:cstheme="minorBidi"/>
          <w:i/>
          <w:iCs/>
          <w:rtl/>
        </w:rPr>
        <w:t>מהשלמה להסלמה</w:t>
      </w:r>
      <w:r w:rsidRPr="00266245">
        <w:rPr>
          <w:rFonts w:asciiTheme="minorBidi" w:hAnsiTheme="minorBidi" w:cstheme="minorBidi"/>
          <w:rtl/>
        </w:rPr>
        <w:t xml:space="preserve"> ירושלים: שוקן.</w:t>
      </w:r>
    </w:p>
    <w:p w14:paraId="7E1FB306" w14:textId="77777777" w:rsidR="00526C69" w:rsidRDefault="00526C69" w:rsidP="00266245">
      <w:pPr>
        <w:rPr>
          <w:rFonts w:asciiTheme="minorBidi" w:hAnsiTheme="minorBidi" w:cstheme="minorBidi"/>
          <w:rtl/>
        </w:rPr>
      </w:pPr>
    </w:p>
    <w:p w14:paraId="7E1FB307" w14:textId="77777777" w:rsidR="00526C69" w:rsidRDefault="00526C69" w:rsidP="00266245">
      <w:pPr>
        <w:rPr>
          <w:rFonts w:asciiTheme="minorBidi" w:hAnsiTheme="minorBidi" w:cstheme="minorBidi"/>
          <w:rtl/>
        </w:rPr>
      </w:pPr>
    </w:p>
    <w:p w14:paraId="7E1FB34E" w14:textId="77777777" w:rsidR="00942172" w:rsidRDefault="00942172" w:rsidP="00E5129F">
      <w:pPr>
        <w:rPr>
          <w:rFonts w:asciiTheme="majorBidi" w:hAnsiTheme="majorBidi" w:cstheme="majorBidi"/>
          <w:rtl/>
        </w:rPr>
      </w:pPr>
    </w:p>
    <w:p w14:paraId="7E1FB34F" w14:textId="77777777" w:rsidR="00942172" w:rsidRPr="00942172" w:rsidRDefault="00942172" w:rsidP="00E5129F">
      <w:pPr>
        <w:rPr>
          <w:rFonts w:asciiTheme="majorBidi" w:hAnsiTheme="majorBidi" w:cstheme="majorBidi"/>
          <w:rtl/>
        </w:rPr>
      </w:pPr>
    </w:p>
    <w:p w14:paraId="7E1FB350" w14:textId="77777777" w:rsidR="00432542" w:rsidRPr="00942172" w:rsidRDefault="00432542" w:rsidP="00432542">
      <w:pPr>
        <w:pStyle w:val="EndnoteText"/>
        <w:rPr>
          <w:rFonts w:asciiTheme="majorBidi" w:hAnsiTheme="majorBidi" w:cstheme="majorBidi"/>
          <w:sz w:val="24"/>
          <w:szCs w:val="24"/>
          <w:rtl/>
        </w:rPr>
      </w:pPr>
    </w:p>
    <w:p w14:paraId="7E1FB351" w14:textId="77777777" w:rsidR="00D25A8F" w:rsidRDefault="00D25A8F" w:rsidP="008F0DFD">
      <w:pPr>
        <w:pStyle w:val="EndnoteText"/>
        <w:rPr>
          <w:rFonts w:asciiTheme="majorBidi" w:hAnsiTheme="majorBidi" w:cstheme="majorBidi"/>
          <w:sz w:val="24"/>
          <w:szCs w:val="24"/>
          <w:rtl/>
        </w:rPr>
      </w:pPr>
    </w:p>
    <w:p w14:paraId="7E1FB352" w14:textId="77777777" w:rsidR="00D25A8F" w:rsidRPr="00D25A8F" w:rsidRDefault="00D25A8F" w:rsidP="008F0DFD">
      <w:pPr>
        <w:pStyle w:val="EndnoteText"/>
        <w:rPr>
          <w:rFonts w:asciiTheme="majorBidi" w:hAnsiTheme="majorBidi" w:cstheme="majorBidi"/>
          <w:sz w:val="24"/>
          <w:szCs w:val="24"/>
          <w:rtl/>
        </w:rPr>
      </w:pPr>
    </w:p>
    <w:p w14:paraId="7E1FB353" w14:textId="77777777" w:rsidR="00D25A8F" w:rsidRPr="00D25A8F" w:rsidRDefault="00D25A8F" w:rsidP="008F0DFD">
      <w:pPr>
        <w:pStyle w:val="EndnoteText"/>
        <w:rPr>
          <w:rFonts w:asciiTheme="majorBidi" w:hAnsiTheme="majorBidi" w:cstheme="majorBidi"/>
          <w:sz w:val="24"/>
          <w:szCs w:val="24"/>
          <w:u w:val="single"/>
          <w:rtl/>
        </w:rPr>
      </w:pPr>
    </w:p>
    <w:p w14:paraId="7E1FB354" w14:textId="77777777" w:rsidR="002756BA" w:rsidRPr="002756BA" w:rsidRDefault="002756BA" w:rsidP="002756BA">
      <w:pPr>
        <w:pStyle w:val="EndnoteText1"/>
        <w:spacing w:line="240" w:lineRule="auto"/>
        <w:rPr>
          <w:rFonts w:asciiTheme="majorBidi" w:hAnsiTheme="majorBidi" w:cstheme="majorBidi"/>
        </w:rPr>
      </w:pPr>
    </w:p>
    <w:p w14:paraId="7E1FB355" w14:textId="77777777" w:rsidR="00526C69" w:rsidRDefault="00526C69" w:rsidP="00526C69">
      <w:pPr>
        <w:bidi w:val="0"/>
        <w:spacing w:line="360" w:lineRule="auto"/>
        <w:rPr>
          <w:rFonts w:ascii="Arial" w:hAnsi="Arial" w:cs="Arial"/>
        </w:rPr>
      </w:pPr>
    </w:p>
    <w:p w14:paraId="7E1FB356" w14:textId="77777777" w:rsidR="00526C69" w:rsidRPr="00526C69" w:rsidRDefault="00526C69" w:rsidP="00130F21">
      <w:pPr>
        <w:spacing w:line="360" w:lineRule="auto"/>
        <w:rPr>
          <w:rFonts w:ascii="Arial" w:hAnsi="Arial" w:cs="Arial"/>
          <w:rtl/>
        </w:rPr>
      </w:pPr>
    </w:p>
    <w:p w14:paraId="7E1FB357" w14:textId="77777777" w:rsidR="00317399" w:rsidRDefault="00317399" w:rsidP="00F7303E">
      <w:pPr>
        <w:bidi w:val="0"/>
        <w:rPr>
          <w:u w:val="single"/>
        </w:rPr>
      </w:pPr>
    </w:p>
    <w:sectPr w:rsidR="00317399" w:rsidSect="009E02E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FB35A" w14:textId="77777777" w:rsidR="00F77A23" w:rsidRDefault="00F77A23" w:rsidP="00D45727">
      <w:r>
        <w:separator/>
      </w:r>
    </w:p>
  </w:endnote>
  <w:endnote w:type="continuationSeparator" w:id="0">
    <w:p w14:paraId="7E1FB35B" w14:textId="77777777" w:rsidR="00F77A23" w:rsidRDefault="00F77A23" w:rsidP="00D4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B358" w14:textId="77777777" w:rsidR="00F77A23" w:rsidRDefault="00F77A23" w:rsidP="00D45727">
      <w:r>
        <w:separator/>
      </w:r>
    </w:p>
  </w:footnote>
  <w:footnote w:type="continuationSeparator" w:id="0">
    <w:p w14:paraId="7E1FB359" w14:textId="77777777" w:rsidR="00F77A23" w:rsidRDefault="00F77A23" w:rsidP="00D4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A9"/>
    <w:multiLevelType w:val="hybridMultilevel"/>
    <w:tmpl w:val="72662226"/>
    <w:lvl w:ilvl="0" w:tplc="70A84B42">
      <w:start w:val="1"/>
      <w:numFmt w:val="hebrew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06079B"/>
    <w:multiLevelType w:val="hybridMultilevel"/>
    <w:tmpl w:val="6878580C"/>
    <w:lvl w:ilvl="0" w:tplc="4C76D03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C984453"/>
    <w:multiLevelType w:val="hybridMultilevel"/>
    <w:tmpl w:val="9EF6F3E4"/>
    <w:lvl w:ilvl="0" w:tplc="6F38597E">
      <w:start w:val="1"/>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CF"/>
    <w:rsid w:val="00015432"/>
    <w:rsid w:val="00021A3E"/>
    <w:rsid w:val="00022580"/>
    <w:rsid w:val="00042D6B"/>
    <w:rsid w:val="00130F21"/>
    <w:rsid w:val="00171DC5"/>
    <w:rsid w:val="00181EAE"/>
    <w:rsid w:val="0018226F"/>
    <w:rsid w:val="001A2698"/>
    <w:rsid w:val="001F751F"/>
    <w:rsid w:val="00255888"/>
    <w:rsid w:val="00266245"/>
    <w:rsid w:val="002717B5"/>
    <w:rsid w:val="002756BA"/>
    <w:rsid w:val="002B18B3"/>
    <w:rsid w:val="002F58D9"/>
    <w:rsid w:val="00317399"/>
    <w:rsid w:val="003F1BF9"/>
    <w:rsid w:val="00432542"/>
    <w:rsid w:val="00465A56"/>
    <w:rsid w:val="00495D77"/>
    <w:rsid w:val="004F10DB"/>
    <w:rsid w:val="00526C69"/>
    <w:rsid w:val="00540C33"/>
    <w:rsid w:val="005D6406"/>
    <w:rsid w:val="00607629"/>
    <w:rsid w:val="00643946"/>
    <w:rsid w:val="00727D25"/>
    <w:rsid w:val="00773E52"/>
    <w:rsid w:val="00785E77"/>
    <w:rsid w:val="007E3D02"/>
    <w:rsid w:val="007E4848"/>
    <w:rsid w:val="00842EFC"/>
    <w:rsid w:val="00846DBB"/>
    <w:rsid w:val="008A75F1"/>
    <w:rsid w:val="008E7CBA"/>
    <w:rsid w:val="008F0DFD"/>
    <w:rsid w:val="009403C5"/>
    <w:rsid w:val="00942172"/>
    <w:rsid w:val="009E02EE"/>
    <w:rsid w:val="009E28FF"/>
    <w:rsid w:val="00AE0D2E"/>
    <w:rsid w:val="00AE329F"/>
    <w:rsid w:val="00B877CF"/>
    <w:rsid w:val="00BD42D5"/>
    <w:rsid w:val="00C53463"/>
    <w:rsid w:val="00C6438F"/>
    <w:rsid w:val="00C759B2"/>
    <w:rsid w:val="00C845A5"/>
    <w:rsid w:val="00D10379"/>
    <w:rsid w:val="00D25A8F"/>
    <w:rsid w:val="00D45727"/>
    <w:rsid w:val="00D53C32"/>
    <w:rsid w:val="00D6279F"/>
    <w:rsid w:val="00E5129F"/>
    <w:rsid w:val="00E972FA"/>
    <w:rsid w:val="00ED6B9B"/>
    <w:rsid w:val="00F609D7"/>
    <w:rsid w:val="00F7303E"/>
    <w:rsid w:val="00F73CC5"/>
    <w:rsid w:val="00F77A23"/>
    <w:rsid w:val="00F80CEA"/>
    <w:rsid w:val="00F97E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E1FB2B3"/>
  <w15:docId w15:val="{91F2959F-1748-40A9-B90E-A18E6DB0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2EE"/>
    <w:pPr>
      <w:bidi/>
    </w:pPr>
    <w:rPr>
      <w:rFonts w:cs="Narkisim"/>
      <w:sz w:val="24"/>
      <w:szCs w:val="24"/>
      <w:lang w:eastAsia="he-IL"/>
    </w:rPr>
  </w:style>
  <w:style w:type="paragraph" w:styleId="Heading1">
    <w:name w:val="heading 1"/>
    <w:basedOn w:val="Normal"/>
    <w:next w:val="Normal"/>
    <w:qFormat/>
    <w:rsid w:val="009E02EE"/>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2EE"/>
    <w:pPr>
      <w:jc w:val="center"/>
    </w:pPr>
    <w:rPr>
      <w:b/>
      <w:bCs/>
      <w:u w:val="single"/>
    </w:rPr>
  </w:style>
  <w:style w:type="paragraph" w:styleId="BalloonText">
    <w:name w:val="Balloon Text"/>
    <w:basedOn w:val="Normal"/>
    <w:semiHidden/>
    <w:rsid w:val="009E02EE"/>
    <w:rPr>
      <w:rFonts w:ascii="Tahoma" w:hAnsi="Tahoma" w:cs="Tahoma"/>
      <w:sz w:val="16"/>
      <w:szCs w:val="16"/>
    </w:rPr>
  </w:style>
  <w:style w:type="character" w:styleId="Hyperlink">
    <w:name w:val="Hyperlink"/>
    <w:basedOn w:val="DefaultParagraphFont"/>
    <w:rsid w:val="00AE329F"/>
    <w:rPr>
      <w:color w:val="0000FF"/>
      <w:u w:val="single"/>
    </w:rPr>
  </w:style>
  <w:style w:type="paragraph" w:styleId="Subtitle">
    <w:name w:val="Subtitle"/>
    <w:basedOn w:val="Normal"/>
    <w:qFormat/>
    <w:rsid w:val="00181EAE"/>
    <w:pPr>
      <w:jc w:val="center"/>
    </w:pPr>
    <w:rPr>
      <w:rFonts w:cs="David Transparent"/>
      <w:b/>
      <w:bCs/>
    </w:rPr>
  </w:style>
  <w:style w:type="paragraph" w:customStyle="1" w:styleId="NormalPar">
    <w:name w:val="NormalPar"/>
    <w:rsid w:val="00643946"/>
    <w:pPr>
      <w:bidi/>
    </w:pPr>
    <w:rPr>
      <w:rFonts w:cs="David"/>
      <w:snapToGrid w:val="0"/>
      <w:sz w:val="24"/>
      <w:szCs w:val="24"/>
      <w:lang w:eastAsia="he-IL"/>
    </w:rPr>
  </w:style>
  <w:style w:type="paragraph" w:customStyle="1" w:styleId="Normal0">
    <w:name w:val="Normal*"/>
    <w:rsid w:val="008A75F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right="540"/>
    </w:pPr>
    <w:rPr>
      <w:rFonts w:ascii="Times" w:hAnsi="Times" w:cs="Times"/>
      <w:sz w:val="28"/>
      <w:szCs w:val="28"/>
      <w:lang w:bidi="ar-SA"/>
    </w:rPr>
  </w:style>
  <w:style w:type="paragraph" w:styleId="EndnoteText">
    <w:name w:val="endnote text"/>
    <w:basedOn w:val="Normal"/>
    <w:link w:val="EndnoteTextChar"/>
    <w:rsid w:val="00266245"/>
    <w:rPr>
      <w:rFonts w:cs="Times New Roman"/>
      <w:sz w:val="20"/>
      <w:szCs w:val="20"/>
      <w:lang w:eastAsia="en-US"/>
    </w:rPr>
  </w:style>
  <w:style w:type="character" w:customStyle="1" w:styleId="EndnoteTextChar">
    <w:name w:val="Endnote Text Char"/>
    <w:basedOn w:val="DefaultParagraphFont"/>
    <w:link w:val="EndnoteText"/>
    <w:rsid w:val="00266245"/>
  </w:style>
  <w:style w:type="paragraph" w:customStyle="1" w:styleId="EndnoteText1">
    <w:name w:val="Endnote Text1"/>
    <w:basedOn w:val="Normal"/>
    <w:rsid w:val="00526C69"/>
    <w:pPr>
      <w:suppressAutoHyphens/>
      <w:bidi w:val="0"/>
      <w:spacing w:line="240" w:lineRule="atLeast"/>
    </w:pPr>
    <w:rPr>
      <w:rFonts w:ascii="Arial" w:hAnsi="Arial" w:cs="Arial"/>
      <w:kern w:val="1"/>
    </w:rPr>
  </w:style>
  <w:style w:type="character" w:customStyle="1" w:styleId="EndnoteTextChar1">
    <w:name w:val="Endnote Text Char1"/>
    <w:basedOn w:val="DefaultParagraphFont"/>
    <w:rsid w:val="002756BA"/>
    <w:rPr>
      <w:lang w:eastAsia="he-IL"/>
    </w:rPr>
  </w:style>
  <w:style w:type="character" w:customStyle="1" w:styleId="bold1">
    <w:name w:val="bold1"/>
    <w:basedOn w:val="DefaultParagraphFont"/>
    <w:rsid w:val="007E3D02"/>
    <w:rPr>
      <w:b/>
      <w:bCs/>
      <w:color w:val="333333"/>
    </w:rPr>
  </w:style>
  <w:style w:type="paragraph" w:styleId="FootnoteText">
    <w:name w:val="footnote text"/>
    <w:aliases w:val="טקסט הערות שוליים תו Char Char Char,טקסט הערות שוליים תו Char Char,טקסט הערות שוליים תו תו Char Char,טקסט הערות שוליים תו תו Char Char Char Char Char,טקסט הערות שוליים תו תו Char,טקסט הערות שוליים תו תו תו"/>
    <w:basedOn w:val="Normal"/>
    <w:link w:val="FootnoteTextChar"/>
    <w:rsid w:val="00D45727"/>
    <w:pPr>
      <w:spacing w:line="295" w:lineRule="exact"/>
      <w:jc w:val="both"/>
    </w:pPr>
    <w:rPr>
      <w:rFonts w:cs="FrankRuehl"/>
      <w:color w:val="000000"/>
      <w:sz w:val="20"/>
      <w:szCs w:val="20"/>
    </w:rPr>
  </w:style>
  <w:style w:type="character" w:customStyle="1" w:styleId="FootnoteTextChar">
    <w:name w:val="Footnote Text Char"/>
    <w:aliases w:val="טקסט הערות שוליים תו Char Char Char Char,טקסט הערות שוליים תו Char Char Char1,טקסט הערות שוליים תו תו Char Char Char,טקסט הערות שוליים תו תו Char Char Char Char Char Char,טקסט הערות שוליים תו תו Char Char1"/>
    <w:basedOn w:val="DefaultParagraphFont"/>
    <w:link w:val="FootnoteText"/>
    <w:rsid w:val="00D45727"/>
    <w:rPr>
      <w:rFonts w:cs="FrankRuehl"/>
      <w:color w:val="000000"/>
      <w:lang w:eastAsia="he-IL"/>
    </w:rPr>
  </w:style>
  <w:style w:type="character" w:styleId="FootnoteReference">
    <w:name w:val="footnote reference"/>
    <w:basedOn w:val="DefaultParagraphFont"/>
    <w:rsid w:val="00D4572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026F-2816-4785-9779-3242F82B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אוניברסיטת בן גוריון בנגב</vt:lpstr>
    </vt:vector>
  </TitlesOfParts>
  <Company>Ben- Gurion University of the Negev</Company>
  <LinksUpToDate>false</LinksUpToDate>
  <CharactersWithSpaces>2583</CharactersWithSpaces>
  <SharedDoc>false</SharedDoc>
  <HLinks>
    <vt:vector size="18" baseType="variant">
      <vt:variant>
        <vt:i4>2162744</vt:i4>
      </vt:variant>
      <vt:variant>
        <vt:i4>6</vt:i4>
      </vt:variant>
      <vt:variant>
        <vt:i4>0</vt:i4>
      </vt:variant>
      <vt:variant>
        <vt:i4>5</vt:i4>
      </vt:variant>
      <vt:variant>
        <vt:lpwstr>javascript:open_window(%22http://dahab.bgu.ac.il:80/F/HE4Q4I39N7Q89A9ILANGF2Y4C8HKIJDF5HV5SVFQ97YT98PMVI-00556?func=service&amp;doc_number=001402006&amp;line_number=0006&amp;service_type=TAG%22);</vt:lpwstr>
      </vt:variant>
      <vt:variant>
        <vt:lpwstr/>
      </vt:variant>
      <vt:variant>
        <vt:i4>327698</vt:i4>
      </vt:variant>
      <vt:variant>
        <vt:i4>3</vt:i4>
      </vt:variant>
      <vt:variant>
        <vt:i4>0</vt:i4>
      </vt:variant>
      <vt:variant>
        <vt:i4>5</vt:i4>
      </vt:variant>
      <vt:variant>
        <vt:lpwstr>http://www.queensu.ca/sps/WorkingPapers/files/sps_wp_33.pdf</vt:lpwstr>
      </vt:variant>
      <vt:variant>
        <vt:lpwstr/>
      </vt:variant>
      <vt:variant>
        <vt:i4>7209057</vt:i4>
      </vt:variant>
      <vt:variant>
        <vt:i4>0</vt:i4>
      </vt:variant>
      <vt:variant>
        <vt:i4>0</vt:i4>
      </vt:variant>
      <vt:variant>
        <vt:i4>5</vt:i4>
      </vt:variant>
      <vt:variant>
        <vt:lpwstr>http://www.tandf.co.uk/journals/titles/09546553.asp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School of Management</dc:creator>
  <cp:lastModifiedBy>Guy Ben-Porat</cp:lastModifiedBy>
  <cp:revision>2</cp:revision>
  <cp:lastPrinted>2008-04-07T06:56:00Z</cp:lastPrinted>
  <dcterms:created xsi:type="dcterms:W3CDTF">2020-09-10T06:16:00Z</dcterms:created>
  <dcterms:modified xsi:type="dcterms:W3CDTF">2020-09-10T06:16:00Z</dcterms:modified>
</cp:coreProperties>
</file>