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B50AF" w14:textId="5CAEC302" w:rsidR="00B877CF" w:rsidRPr="00DD2E59" w:rsidRDefault="00B877CF">
      <w:pPr>
        <w:pStyle w:val="Title"/>
        <w:rPr>
          <w:rFonts w:asciiTheme="majorBidi" w:hAnsiTheme="majorBidi" w:cstheme="majorBidi"/>
          <w:sz w:val="28"/>
          <w:szCs w:val="28"/>
          <w:u w:val="none"/>
          <w:rtl/>
        </w:rPr>
      </w:pPr>
      <w:r w:rsidRPr="00DD2E59">
        <w:rPr>
          <w:rFonts w:asciiTheme="majorBidi" w:hAnsiTheme="majorBidi" w:cstheme="majorBidi"/>
          <w:sz w:val="28"/>
          <w:szCs w:val="28"/>
          <w:u w:val="none"/>
          <w:rtl/>
        </w:rPr>
        <w:t>אוניברסיטת בן גוריון בנגב</w:t>
      </w:r>
    </w:p>
    <w:p w14:paraId="377C12EC" w14:textId="2400F3FC" w:rsidR="00DD2E59" w:rsidRPr="00DD2E59" w:rsidRDefault="00DD2E59">
      <w:pPr>
        <w:pStyle w:val="Title"/>
        <w:rPr>
          <w:rFonts w:asciiTheme="majorBidi" w:hAnsiTheme="majorBidi" w:cstheme="majorBidi"/>
          <w:sz w:val="28"/>
          <w:szCs w:val="28"/>
          <w:u w:val="none"/>
          <w:rtl/>
        </w:rPr>
      </w:pPr>
      <w:r w:rsidRPr="00DD2E59">
        <w:rPr>
          <w:rFonts w:asciiTheme="majorBidi" w:hAnsiTheme="majorBidi" w:cstheme="majorBidi" w:hint="cs"/>
          <w:sz w:val="28"/>
          <w:szCs w:val="28"/>
          <w:u w:val="none"/>
          <w:rtl/>
        </w:rPr>
        <w:t>המחלקה לפוליטיקה וממשל</w:t>
      </w:r>
    </w:p>
    <w:p w14:paraId="539CE12A" w14:textId="7C84E341" w:rsidR="00DD2E59" w:rsidRPr="00DD2E59" w:rsidRDefault="00DD2E59" w:rsidP="00DF3643">
      <w:pPr>
        <w:pStyle w:val="Title"/>
        <w:rPr>
          <w:rFonts w:asciiTheme="majorBidi" w:hAnsiTheme="majorBidi" w:cstheme="majorBidi"/>
          <w:sz w:val="28"/>
          <w:szCs w:val="28"/>
          <w:u w:val="none"/>
          <w:rtl/>
        </w:rPr>
      </w:pPr>
      <w:r w:rsidRPr="00DD2E59">
        <w:rPr>
          <w:rFonts w:asciiTheme="majorBidi" w:hAnsiTheme="majorBidi" w:cstheme="majorBidi" w:hint="cs"/>
          <w:sz w:val="28"/>
          <w:szCs w:val="28"/>
          <w:u w:val="none"/>
          <w:rtl/>
        </w:rPr>
        <w:t xml:space="preserve">סמסטר </w:t>
      </w:r>
      <w:r w:rsidR="00DF3643">
        <w:rPr>
          <w:rFonts w:asciiTheme="majorBidi" w:hAnsiTheme="majorBidi" w:cstheme="majorBidi" w:hint="cs"/>
          <w:sz w:val="28"/>
          <w:szCs w:val="28"/>
          <w:u w:val="none"/>
          <w:rtl/>
        </w:rPr>
        <w:t>ב</w:t>
      </w:r>
      <w:r w:rsidRPr="00DD2E59">
        <w:rPr>
          <w:rFonts w:asciiTheme="majorBidi" w:hAnsiTheme="majorBidi" w:cstheme="majorBidi" w:hint="cs"/>
          <w:sz w:val="28"/>
          <w:szCs w:val="28"/>
          <w:u w:val="none"/>
          <w:rtl/>
        </w:rPr>
        <w:t>' תש</w:t>
      </w:r>
      <w:r w:rsidR="00DF3643">
        <w:rPr>
          <w:rFonts w:asciiTheme="majorBidi" w:hAnsiTheme="majorBidi" w:cstheme="majorBidi" w:hint="cs"/>
          <w:sz w:val="28"/>
          <w:szCs w:val="28"/>
          <w:u w:val="none"/>
          <w:rtl/>
        </w:rPr>
        <w:t>"פ</w:t>
      </w:r>
      <w:bookmarkStart w:id="0" w:name="_GoBack"/>
      <w:bookmarkEnd w:id="0"/>
    </w:p>
    <w:p w14:paraId="76F3CB82" w14:textId="77777777" w:rsidR="00B877CF" w:rsidRPr="006210C3" w:rsidRDefault="00B877CF">
      <w:pPr>
        <w:rPr>
          <w:rFonts w:asciiTheme="majorBidi" w:hAnsiTheme="majorBidi" w:cstheme="majorBidi"/>
          <w:u w:val="single"/>
          <w:rtl/>
        </w:rPr>
      </w:pPr>
    </w:p>
    <w:p w14:paraId="01D33470" w14:textId="77777777" w:rsidR="00B877CF" w:rsidRPr="006210C3" w:rsidRDefault="00B877CF">
      <w:pPr>
        <w:jc w:val="both"/>
        <w:rPr>
          <w:rFonts w:asciiTheme="majorBidi" w:hAnsiTheme="majorBidi" w:cstheme="majorBidi"/>
          <w:u w:val="single"/>
          <w:rtl/>
        </w:rPr>
      </w:pPr>
    </w:p>
    <w:p w14:paraId="1E8F6A0E" w14:textId="77777777" w:rsidR="00B877CF" w:rsidRPr="006210C3" w:rsidRDefault="00B877CF" w:rsidP="00B877CF">
      <w:pPr>
        <w:jc w:val="both"/>
        <w:rPr>
          <w:rFonts w:asciiTheme="majorBidi" w:hAnsiTheme="majorBidi" w:cstheme="majorBidi"/>
          <w:u w:val="single"/>
          <w:rtl/>
        </w:rPr>
      </w:pPr>
      <w:r w:rsidRPr="006210C3">
        <w:rPr>
          <w:rFonts w:asciiTheme="majorBidi" w:hAnsiTheme="majorBidi" w:cstheme="majorBidi"/>
          <w:u w:val="single"/>
          <w:rtl/>
        </w:rPr>
        <w:t>מס' קורס:</w:t>
      </w:r>
    </w:p>
    <w:p w14:paraId="7EE46BDC" w14:textId="77777777" w:rsidR="00B877CF" w:rsidRPr="006210C3" w:rsidRDefault="00B877CF" w:rsidP="00986A30">
      <w:pPr>
        <w:jc w:val="both"/>
        <w:rPr>
          <w:rFonts w:asciiTheme="majorBidi" w:hAnsiTheme="majorBidi" w:cstheme="majorBidi"/>
          <w:u w:val="single"/>
          <w:rtl/>
        </w:rPr>
      </w:pPr>
      <w:r w:rsidRPr="006210C3">
        <w:rPr>
          <w:rFonts w:asciiTheme="majorBidi" w:hAnsiTheme="majorBidi" w:cstheme="majorBidi"/>
          <w:u w:val="single"/>
          <w:rtl/>
        </w:rPr>
        <w:t xml:space="preserve">שם הקורס: </w:t>
      </w:r>
      <w:r w:rsidR="00986A30" w:rsidRPr="006210C3">
        <w:rPr>
          <w:rFonts w:asciiTheme="majorBidi" w:hAnsiTheme="majorBidi" w:cstheme="majorBidi"/>
          <w:rtl/>
        </w:rPr>
        <w:t>עם האל לצדנו? דת ופוליטיקה במאה ה-21</w:t>
      </w:r>
    </w:p>
    <w:p w14:paraId="1C0AC06C" w14:textId="77777777" w:rsidR="00B877CF" w:rsidRPr="006210C3" w:rsidRDefault="00B877CF" w:rsidP="00986A30">
      <w:pPr>
        <w:jc w:val="both"/>
        <w:rPr>
          <w:rFonts w:asciiTheme="majorBidi" w:hAnsiTheme="majorBidi" w:cstheme="majorBidi"/>
          <w:u w:val="single"/>
          <w:rtl/>
        </w:rPr>
      </w:pPr>
      <w:r w:rsidRPr="006210C3">
        <w:rPr>
          <w:rFonts w:asciiTheme="majorBidi" w:hAnsiTheme="majorBidi" w:cstheme="majorBidi"/>
          <w:u w:val="single"/>
          <w:rtl/>
        </w:rPr>
        <w:t>שם המרצה</w:t>
      </w:r>
      <w:r w:rsidRPr="006210C3">
        <w:rPr>
          <w:rFonts w:asciiTheme="majorBidi" w:hAnsiTheme="majorBidi" w:cstheme="majorBidi"/>
          <w:rtl/>
        </w:rPr>
        <w:t xml:space="preserve">: </w:t>
      </w:r>
      <w:r w:rsidR="00986A30" w:rsidRPr="006210C3">
        <w:rPr>
          <w:rFonts w:asciiTheme="majorBidi" w:hAnsiTheme="majorBidi" w:cstheme="majorBidi"/>
          <w:rtl/>
        </w:rPr>
        <w:t>פרופסור</w:t>
      </w:r>
      <w:r w:rsidRPr="006210C3">
        <w:rPr>
          <w:rFonts w:asciiTheme="majorBidi" w:hAnsiTheme="majorBidi" w:cstheme="majorBidi"/>
          <w:rtl/>
        </w:rPr>
        <w:t xml:space="preserve"> גיא בן פורת</w:t>
      </w:r>
    </w:p>
    <w:p w14:paraId="6384BF7B" w14:textId="77777777" w:rsidR="00B877CF" w:rsidRPr="006210C3" w:rsidRDefault="00B877CF">
      <w:pPr>
        <w:jc w:val="both"/>
        <w:rPr>
          <w:rFonts w:asciiTheme="majorBidi" w:hAnsiTheme="majorBidi" w:cstheme="majorBidi"/>
          <w:u w:val="single"/>
          <w:rtl/>
        </w:rPr>
      </w:pPr>
    </w:p>
    <w:p w14:paraId="76B2C020" w14:textId="77777777" w:rsidR="00B877CF" w:rsidRPr="006210C3" w:rsidRDefault="00B877CF">
      <w:pPr>
        <w:rPr>
          <w:rFonts w:asciiTheme="majorBidi" w:hAnsiTheme="majorBidi" w:cstheme="majorBidi"/>
          <w:rtl/>
        </w:rPr>
      </w:pPr>
    </w:p>
    <w:p w14:paraId="428181C9" w14:textId="77777777" w:rsidR="00B877CF" w:rsidRPr="00DD2E59" w:rsidRDefault="00B877CF">
      <w:pPr>
        <w:rPr>
          <w:rFonts w:asciiTheme="majorBidi" w:hAnsiTheme="majorBidi" w:cstheme="majorBidi"/>
          <w:b/>
          <w:bCs/>
          <w:rtl/>
        </w:rPr>
      </w:pPr>
      <w:r w:rsidRPr="00DD2E59">
        <w:rPr>
          <w:rFonts w:asciiTheme="majorBidi" w:hAnsiTheme="majorBidi" w:cstheme="majorBidi"/>
          <w:b/>
          <w:bCs/>
          <w:u w:val="single"/>
          <w:rtl/>
        </w:rPr>
        <w:t>תאור קורס</w:t>
      </w:r>
      <w:r w:rsidRPr="00DD2E59">
        <w:rPr>
          <w:rFonts w:asciiTheme="majorBidi" w:hAnsiTheme="majorBidi" w:cstheme="majorBidi"/>
          <w:b/>
          <w:bCs/>
          <w:rtl/>
        </w:rPr>
        <w:t xml:space="preserve">: </w:t>
      </w:r>
    </w:p>
    <w:p w14:paraId="7D5CE717" w14:textId="77777777" w:rsidR="00B877CF" w:rsidRPr="00DD2E59" w:rsidRDefault="00B877CF">
      <w:pPr>
        <w:rPr>
          <w:rFonts w:asciiTheme="majorBidi" w:hAnsiTheme="majorBidi" w:cstheme="majorBidi"/>
          <w:b/>
          <w:bCs/>
          <w:rtl/>
        </w:rPr>
      </w:pPr>
    </w:p>
    <w:p w14:paraId="701A4CD9" w14:textId="77777777" w:rsidR="00B877CF" w:rsidRPr="006210C3" w:rsidRDefault="00A746CF" w:rsidP="00A746CF">
      <w:pPr>
        <w:jc w:val="both"/>
        <w:rPr>
          <w:rFonts w:asciiTheme="majorBidi" w:hAnsiTheme="majorBidi" w:cstheme="majorBidi"/>
        </w:rPr>
      </w:pPr>
      <w:r>
        <w:rPr>
          <w:rFonts w:asciiTheme="majorBidi" w:hAnsiTheme="majorBidi" w:cstheme="majorBidi" w:hint="cs"/>
          <w:rtl/>
        </w:rPr>
        <w:t xml:space="preserve">סיפורה ההיסטורי של החילוניות המערבית מוצג כסיפור ניצחונה של החירות, שהושג על ידי </w:t>
      </w:r>
      <w:r w:rsidR="00C2070D">
        <w:rPr>
          <w:rFonts w:asciiTheme="majorBidi" w:hAnsiTheme="majorBidi" w:cstheme="majorBidi" w:hint="cs"/>
          <w:rtl/>
        </w:rPr>
        <w:t xml:space="preserve">הסטת הדת אל המרחב הפרטי, מהלך שהבטיח את ריבונות המדינה וחירויות הפרט. עד כמה תיאור זה מדויק היסטורית או מייצג את המציאות הנוכחית? </w:t>
      </w:r>
      <w:r w:rsidR="00495D77" w:rsidRPr="006210C3">
        <w:rPr>
          <w:rFonts w:asciiTheme="majorBidi" w:hAnsiTheme="majorBidi" w:cstheme="majorBidi"/>
          <w:rtl/>
        </w:rPr>
        <w:t>הסוגיות הקשורות ביחסי דת ומדינה</w:t>
      </w:r>
      <w:r w:rsidR="00DF533E">
        <w:rPr>
          <w:rFonts w:asciiTheme="majorBidi" w:hAnsiTheme="majorBidi" w:cstheme="majorBidi" w:hint="cs"/>
          <w:rtl/>
        </w:rPr>
        <w:t xml:space="preserve"> </w:t>
      </w:r>
      <w:r w:rsidR="00495D77" w:rsidRPr="006210C3">
        <w:rPr>
          <w:rFonts w:asciiTheme="majorBidi" w:hAnsiTheme="majorBidi" w:cstheme="majorBidi"/>
          <w:rtl/>
        </w:rPr>
        <w:t xml:space="preserve"> הפכו בשנים האחרונות בישראל ובמקומות אחרים בעולם למרכזיות במאבקים בין קבוצות דתיות וחילוניות</w:t>
      </w:r>
      <w:r w:rsidR="00B877CF" w:rsidRPr="006210C3">
        <w:rPr>
          <w:rFonts w:asciiTheme="majorBidi" w:hAnsiTheme="majorBidi" w:cstheme="majorBidi"/>
          <w:rtl/>
        </w:rPr>
        <w:t>.</w:t>
      </w:r>
      <w:r w:rsidR="00495D77" w:rsidRPr="006210C3">
        <w:rPr>
          <w:rFonts w:asciiTheme="majorBidi" w:hAnsiTheme="majorBidi" w:cstheme="majorBidi"/>
          <w:rtl/>
        </w:rPr>
        <w:t xml:space="preserve"> שינויים כלכליים, חברתיים ודמוגראפיים מערערים הסדרים ישנים ויוצרים אתגרים חדשים </w:t>
      </w:r>
      <w:r>
        <w:rPr>
          <w:rFonts w:asciiTheme="majorBidi" w:hAnsiTheme="majorBidi" w:cstheme="majorBidi" w:hint="cs"/>
          <w:rtl/>
        </w:rPr>
        <w:t>למדינה ולמוסדותיה, כמו גם בזירה הבין-לאומית. קורס זה יעסוק בתיאוריות של חילון והתחזקות דתית, ביחסים בין דת, מדינה ודמוקרטיה, בשאלות דתיות בזירה הבין-לאומית ובסוגיות פוליטיות הנוגעות לחיי היום יום ולאתגר של הסדרת מעמדה של הדת בחיים הציבוריים.</w:t>
      </w:r>
    </w:p>
    <w:p w14:paraId="3C030576" w14:textId="77777777" w:rsidR="004F10DB" w:rsidRPr="006210C3" w:rsidRDefault="004F10DB" w:rsidP="00F7303E">
      <w:pPr>
        <w:ind w:left="720" w:right="720"/>
        <w:rPr>
          <w:rFonts w:asciiTheme="majorBidi" w:hAnsiTheme="majorBidi" w:cstheme="majorBidi"/>
          <w:rtl/>
        </w:rPr>
      </w:pPr>
    </w:p>
    <w:p w14:paraId="5AF5579B" w14:textId="77777777" w:rsidR="00503C44" w:rsidRDefault="0063739F" w:rsidP="00503C44">
      <w:pPr>
        <w:jc w:val="right"/>
      </w:pPr>
      <w:r>
        <w:t>The historical narrative of secularization presents itself as an ideological victory of liberalism and a separation of church and state that secured state sovereignty and individual freedoms. How accurate is this historical description and what does contemporary reality tell us about it? Questions of religion and politics, in Israel and elsewhere, became salient in recent years as struggles and demographic, social and economic changes undermine institutions and present states with new challenges. This course will introduce stude</w:t>
      </w:r>
      <w:r w:rsidR="00503C44">
        <w:t>nts to secularization theories, democratic debates and political questions of everyday life.</w:t>
      </w:r>
    </w:p>
    <w:p w14:paraId="112ECA0D" w14:textId="77777777" w:rsidR="006616F3" w:rsidRDefault="006616F3" w:rsidP="00317399">
      <w:pPr>
        <w:rPr>
          <w:rFonts w:asciiTheme="majorBidi" w:hAnsiTheme="majorBidi" w:cstheme="majorBidi"/>
          <w:u w:val="single"/>
          <w:rtl/>
        </w:rPr>
      </w:pPr>
    </w:p>
    <w:p w14:paraId="4B0A080C" w14:textId="77777777" w:rsidR="00317399" w:rsidRPr="00DD2E59" w:rsidRDefault="00317399" w:rsidP="00317399">
      <w:pPr>
        <w:rPr>
          <w:rFonts w:asciiTheme="majorBidi" w:hAnsiTheme="majorBidi" w:cstheme="majorBidi"/>
          <w:b/>
          <w:bCs/>
          <w:u w:val="single"/>
          <w:rtl/>
        </w:rPr>
      </w:pPr>
      <w:r w:rsidRPr="00DD2E59">
        <w:rPr>
          <w:rFonts w:asciiTheme="majorBidi" w:hAnsiTheme="majorBidi" w:cstheme="majorBidi"/>
          <w:b/>
          <w:bCs/>
          <w:u w:val="single"/>
          <w:rtl/>
        </w:rPr>
        <w:t>דרישות הקורס:</w:t>
      </w:r>
    </w:p>
    <w:p w14:paraId="5AE39E75" w14:textId="77777777" w:rsidR="00317399" w:rsidRPr="00DD2E59" w:rsidRDefault="00317399" w:rsidP="00317399">
      <w:pPr>
        <w:rPr>
          <w:rFonts w:asciiTheme="majorBidi" w:hAnsiTheme="majorBidi" w:cstheme="majorBidi"/>
          <w:b/>
          <w:bCs/>
          <w:u w:val="single"/>
          <w:rtl/>
        </w:rPr>
      </w:pPr>
    </w:p>
    <w:p w14:paraId="6942D022" w14:textId="158AA42C" w:rsidR="006616F3" w:rsidRDefault="00317399" w:rsidP="00015432">
      <w:pPr>
        <w:numPr>
          <w:ilvl w:val="0"/>
          <w:numId w:val="1"/>
        </w:numPr>
        <w:ind w:right="0"/>
        <w:rPr>
          <w:rFonts w:asciiTheme="majorBidi" w:hAnsiTheme="majorBidi" w:cstheme="majorBidi"/>
        </w:rPr>
      </w:pPr>
      <w:r w:rsidRPr="006616F3">
        <w:rPr>
          <w:rFonts w:asciiTheme="majorBidi" w:hAnsiTheme="majorBidi" w:cstheme="majorBidi"/>
          <w:rtl/>
        </w:rPr>
        <w:t xml:space="preserve">מטלות – </w:t>
      </w:r>
      <w:r w:rsidR="00385BA0">
        <w:rPr>
          <w:rFonts w:asciiTheme="majorBidi" w:hAnsiTheme="majorBidi" w:cstheme="majorBidi" w:hint="cs"/>
          <w:rtl/>
        </w:rPr>
        <w:t>5</w:t>
      </w:r>
      <w:r w:rsidR="00015432" w:rsidRPr="006616F3">
        <w:rPr>
          <w:rFonts w:asciiTheme="majorBidi" w:hAnsiTheme="majorBidi" w:cstheme="majorBidi"/>
          <w:rtl/>
        </w:rPr>
        <w:t>0</w:t>
      </w:r>
      <w:r w:rsidRPr="006616F3">
        <w:rPr>
          <w:rFonts w:asciiTheme="majorBidi" w:hAnsiTheme="majorBidi" w:cstheme="majorBidi"/>
          <w:rtl/>
        </w:rPr>
        <w:t xml:space="preserve">% מהציון הסופי </w:t>
      </w:r>
    </w:p>
    <w:p w14:paraId="43379C31" w14:textId="6EB3093A" w:rsidR="00317399" w:rsidRPr="006616F3" w:rsidRDefault="00317399" w:rsidP="00015432">
      <w:pPr>
        <w:numPr>
          <w:ilvl w:val="0"/>
          <w:numId w:val="1"/>
        </w:numPr>
        <w:ind w:right="0"/>
        <w:rPr>
          <w:rFonts w:asciiTheme="majorBidi" w:hAnsiTheme="majorBidi" w:cstheme="majorBidi"/>
        </w:rPr>
      </w:pPr>
      <w:r w:rsidRPr="006616F3">
        <w:rPr>
          <w:rFonts w:asciiTheme="majorBidi" w:hAnsiTheme="majorBidi" w:cstheme="majorBidi"/>
          <w:rtl/>
        </w:rPr>
        <w:t xml:space="preserve">מבחן מסכם- </w:t>
      </w:r>
      <w:r w:rsidR="00385BA0">
        <w:rPr>
          <w:rFonts w:asciiTheme="majorBidi" w:hAnsiTheme="majorBidi" w:cstheme="majorBidi" w:hint="cs"/>
          <w:rtl/>
        </w:rPr>
        <w:t>5</w:t>
      </w:r>
      <w:r w:rsidR="00015432" w:rsidRPr="006616F3">
        <w:rPr>
          <w:rFonts w:asciiTheme="majorBidi" w:hAnsiTheme="majorBidi" w:cstheme="majorBidi"/>
          <w:rtl/>
        </w:rPr>
        <w:t>0</w:t>
      </w:r>
      <w:r w:rsidRPr="006616F3">
        <w:rPr>
          <w:rFonts w:asciiTheme="majorBidi" w:hAnsiTheme="majorBidi" w:cstheme="majorBidi"/>
          <w:rtl/>
        </w:rPr>
        <w:t>%</w:t>
      </w:r>
    </w:p>
    <w:p w14:paraId="476FD699" w14:textId="77777777" w:rsidR="00317399" w:rsidRPr="006210C3" w:rsidRDefault="00317399" w:rsidP="00317399">
      <w:pPr>
        <w:numPr>
          <w:ilvl w:val="0"/>
          <w:numId w:val="1"/>
        </w:numPr>
        <w:ind w:right="0"/>
        <w:rPr>
          <w:rFonts w:asciiTheme="majorBidi" w:hAnsiTheme="majorBidi" w:cstheme="majorBidi"/>
        </w:rPr>
      </w:pPr>
      <w:r w:rsidRPr="006210C3">
        <w:rPr>
          <w:rFonts w:asciiTheme="majorBidi" w:hAnsiTheme="majorBidi" w:cstheme="majorBidi"/>
          <w:rtl/>
        </w:rPr>
        <w:t>נוכחות חובה</w:t>
      </w:r>
    </w:p>
    <w:p w14:paraId="28887A69" w14:textId="77777777" w:rsidR="00317399" w:rsidRPr="006210C3" w:rsidRDefault="00317399" w:rsidP="00317399">
      <w:pPr>
        <w:rPr>
          <w:rFonts w:asciiTheme="majorBidi" w:hAnsiTheme="majorBidi" w:cstheme="majorBidi"/>
          <w:u w:val="single"/>
          <w:rtl/>
        </w:rPr>
      </w:pPr>
    </w:p>
    <w:p w14:paraId="16CCC4EC" w14:textId="53F26234" w:rsidR="00526C69" w:rsidRPr="00DD2E59" w:rsidRDefault="00526C69" w:rsidP="005248A5">
      <w:pPr>
        <w:rPr>
          <w:rFonts w:asciiTheme="majorBidi" w:hAnsiTheme="majorBidi" w:cstheme="majorBidi"/>
          <w:b/>
          <w:bCs/>
          <w:rtl/>
        </w:rPr>
      </w:pPr>
      <w:r w:rsidRPr="00DD2E59">
        <w:rPr>
          <w:rFonts w:asciiTheme="majorBidi" w:hAnsiTheme="majorBidi" w:cstheme="majorBidi"/>
          <w:b/>
          <w:bCs/>
          <w:rtl/>
        </w:rPr>
        <w:t>תכנית השיעורים:</w:t>
      </w:r>
      <w:r w:rsidR="00DD2E59">
        <w:rPr>
          <w:rFonts w:asciiTheme="majorBidi" w:hAnsiTheme="majorBidi" w:cstheme="majorBidi" w:hint="cs"/>
          <w:b/>
          <w:bCs/>
          <w:rtl/>
        </w:rPr>
        <w:t xml:space="preserve"> (ייתכנו שינויים תוך כדי הסמסטר)</w:t>
      </w:r>
    </w:p>
    <w:p w14:paraId="48AB3CBE" w14:textId="77777777" w:rsidR="00526C69" w:rsidRPr="006210C3" w:rsidRDefault="00526C69" w:rsidP="005248A5">
      <w:pPr>
        <w:rPr>
          <w:rFonts w:asciiTheme="majorBidi" w:hAnsiTheme="majorBidi" w:cstheme="majorBidi"/>
          <w:rtl/>
        </w:rPr>
      </w:pPr>
    </w:p>
    <w:p w14:paraId="6C4628E7" w14:textId="77777777" w:rsidR="00526C69" w:rsidRPr="006210C3" w:rsidRDefault="006210C3" w:rsidP="005248A5">
      <w:pPr>
        <w:rPr>
          <w:rFonts w:asciiTheme="majorBidi" w:hAnsiTheme="majorBidi" w:cstheme="majorBidi"/>
          <w:b/>
          <w:bCs/>
          <w:rtl/>
        </w:rPr>
      </w:pPr>
      <w:r w:rsidRPr="006210C3">
        <w:rPr>
          <w:rFonts w:asciiTheme="majorBidi" w:hAnsiTheme="majorBidi" w:cstheme="majorBidi"/>
          <w:u w:val="single"/>
          <w:rtl/>
        </w:rPr>
        <w:t>שבוע 1: דת, מדינה וחילון</w:t>
      </w:r>
    </w:p>
    <w:p w14:paraId="5A9C04A0" w14:textId="77777777" w:rsidR="00526C69" w:rsidRPr="006210C3" w:rsidRDefault="00526C69" w:rsidP="005248A5">
      <w:pPr>
        <w:rPr>
          <w:rFonts w:asciiTheme="majorBidi" w:hAnsiTheme="majorBidi" w:cstheme="majorBidi"/>
          <w:u w:val="single"/>
          <w:rtl/>
        </w:rPr>
      </w:pPr>
    </w:p>
    <w:p w14:paraId="2E6A5EBE" w14:textId="77777777" w:rsidR="00526C69" w:rsidRDefault="006210C3" w:rsidP="005248A5">
      <w:pPr>
        <w:rPr>
          <w:rFonts w:asciiTheme="majorBidi" w:hAnsiTheme="majorBidi" w:cstheme="majorBidi"/>
          <w:rtl/>
        </w:rPr>
      </w:pPr>
      <w:r>
        <w:rPr>
          <w:rFonts w:asciiTheme="majorBidi" w:hAnsiTheme="majorBidi" w:cstheme="majorBidi" w:hint="cs"/>
          <w:rtl/>
        </w:rPr>
        <w:t xml:space="preserve">ידגר, יעקב. 2012. </w:t>
      </w:r>
      <w:r>
        <w:rPr>
          <w:rFonts w:asciiTheme="majorBidi" w:hAnsiTheme="majorBidi" w:cstheme="majorBidi" w:hint="cs"/>
          <w:u w:val="single"/>
          <w:rtl/>
        </w:rPr>
        <w:t>מעבר לחילון, מסורתיות וביקורת החילוניות בישראל</w:t>
      </w:r>
      <w:r>
        <w:rPr>
          <w:rFonts w:asciiTheme="majorBidi" w:hAnsiTheme="majorBidi" w:cstheme="majorBidi" w:hint="cs"/>
          <w:rtl/>
        </w:rPr>
        <w:t>. ירושלים: ון-ליר,</w:t>
      </w:r>
      <w:r w:rsidR="00C24945">
        <w:rPr>
          <w:rFonts w:asciiTheme="majorBidi" w:hAnsiTheme="majorBidi" w:cstheme="majorBidi" w:hint="cs"/>
          <w:rtl/>
        </w:rPr>
        <w:t xml:space="preserve"> 15-45</w:t>
      </w:r>
    </w:p>
    <w:p w14:paraId="41C17916" w14:textId="77777777" w:rsidR="00940F11" w:rsidRDefault="00940F11" w:rsidP="005248A5">
      <w:pPr>
        <w:rPr>
          <w:rFonts w:asciiTheme="majorBidi" w:hAnsiTheme="majorBidi" w:cstheme="majorBidi"/>
          <w:rtl/>
        </w:rPr>
      </w:pPr>
    </w:p>
    <w:p w14:paraId="364F2792" w14:textId="77777777" w:rsidR="00940F11" w:rsidRPr="00CE4E80" w:rsidRDefault="00940F11" w:rsidP="005248A5">
      <w:pPr>
        <w:autoSpaceDE w:val="0"/>
        <w:autoSpaceDN w:val="0"/>
        <w:bidi w:val="0"/>
        <w:adjustRightInd w:val="0"/>
        <w:ind w:hanging="720"/>
        <w:jc w:val="both"/>
        <w:rPr>
          <w:color w:val="000000"/>
        </w:rPr>
      </w:pPr>
      <w:r>
        <w:rPr>
          <w:color w:val="000000"/>
        </w:rPr>
        <w:tab/>
      </w:r>
      <w:r w:rsidRPr="00CE4E80">
        <w:rPr>
          <w:color w:val="000000"/>
        </w:rPr>
        <w:t xml:space="preserve">Gill, Anthony, </w:t>
      </w:r>
      <w:r>
        <w:rPr>
          <w:color w:val="000000"/>
        </w:rPr>
        <w:t xml:space="preserve">2001. </w:t>
      </w:r>
      <w:r w:rsidRPr="00CE4E80">
        <w:rPr>
          <w:color w:val="000000"/>
        </w:rPr>
        <w:t>“Religion and Comparative Politics</w:t>
      </w:r>
      <w:r>
        <w:rPr>
          <w:color w:val="000000"/>
        </w:rPr>
        <w:t xml:space="preserve">,” </w:t>
      </w:r>
      <w:r w:rsidRPr="00940F11">
        <w:rPr>
          <w:color w:val="000000"/>
          <w:u w:val="single"/>
        </w:rPr>
        <w:t>Annual Review of Political Science</w:t>
      </w:r>
      <w:r>
        <w:rPr>
          <w:color w:val="000000"/>
        </w:rPr>
        <w:t>,</w:t>
      </w:r>
      <w:r w:rsidRPr="00CE4E80">
        <w:rPr>
          <w:i/>
          <w:iCs/>
          <w:color w:val="000000"/>
        </w:rPr>
        <w:t xml:space="preserve"> </w:t>
      </w:r>
      <w:r>
        <w:rPr>
          <w:color w:val="000000"/>
        </w:rPr>
        <w:t>4</w:t>
      </w:r>
      <w:r w:rsidRPr="00CE4E80">
        <w:rPr>
          <w:color w:val="000000"/>
        </w:rPr>
        <w:t>: 117-38.</w:t>
      </w:r>
    </w:p>
    <w:p w14:paraId="15ADD911" w14:textId="77777777" w:rsidR="00940F11" w:rsidRPr="00940F11" w:rsidRDefault="00940F11" w:rsidP="005248A5">
      <w:pPr>
        <w:rPr>
          <w:rFonts w:asciiTheme="majorBidi" w:hAnsiTheme="majorBidi" w:cstheme="majorBidi"/>
          <w:rtl/>
        </w:rPr>
      </w:pPr>
    </w:p>
    <w:p w14:paraId="496D3086" w14:textId="77777777" w:rsidR="00526C69" w:rsidRDefault="00C24945" w:rsidP="005248A5">
      <w:pPr>
        <w:pStyle w:val="EndnoteText1"/>
        <w:bidi/>
        <w:spacing w:line="240" w:lineRule="auto"/>
        <w:rPr>
          <w:rFonts w:asciiTheme="majorBidi" w:hAnsiTheme="majorBidi" w:cstheme="majorBidi"/>
          <w:u w:val="single"/>
          <w:rtl/>
        </w:rPr>
      </w:pPr>
      <w:r>
        <w:rPr>
          <w:rFonts w:asciiTheme="majorBidi" w:hAnsiTheme="majorBidi" w:cstheme="majorBidi" w:hint="cs"/>
          <w:u w:val="single"/>
          <w:rtl/>
        </w:rPr>
        <w:t>שבוע</w:t>
      </w:r>
      <w:r w:rsidR="00526C69" w:rsidRPr="006210C3">
        <w:rPr>
          <w:rFonts w:asciiTheme="majorBidi" w:hAnsiTheme="majorBidi" w:cstheme="majorBidi"/>
          <w:u w:val="single"/>
          <w:rtl/>
        </w:rPr>
        <w:t xml:space="preserve"> </w:t>
      </w:r>
      <w:r w:rsidR="006210C3" w:rsidRPr="006210C3">
        <w:rPr>
          <w:rFonts w:asciiTheme="majorBidi" w:hAnsiTheme="majorBidi" w:cstheme="majorBidi"/>
          <w:u w:val="single"/>
          <w:rtl/>
        </w:rPr>
        <w:t>2</w:t>
      </w:r>
      <w:r w:rsidR="001F751F" w:rsidRPr="006210C3">
        <w:rPr>
          <w:rFonts w:asciiTheme="majorBidi" w:hAnsiTheme="majorBidi" w:cstheme="majorBidi"/>
          <w:u w:val="single"/>
          <w:rtl/>
        </w:rPr>
        <w:t xml:space="preserve">: </w:t>
      </w:r>
      <w:r w:rsidR="00526C69" w:rsidRPr="006210C3">
        <w:rPr>
          <w:rFonts w:asciiTheme="majorBidi" w:hAnsiTheme="majorBidi" w:cstheme="majorBidi"/>
          <w:u w:val="single"/>
          <w:rtl/>
        </w:rPr>
        <w:t>חזרתה של הדת</w:t>
      </w:r>
      <w:r>
        <w:rPr>
          <w:rFonts w:asciiTheme="majorBidi" w:hAnsiTheme="majorBidi" w:cstheme="majorBidi" w:hint="cs"/>
          <w:u w:val="single"/>
          <w:rtl/>
        </w:rPr>
        <w:t xml:space="preserve"> ושאלת הסמכות</w:t>
      </w:r>
    </w:p>
    <w:p w14:paraId="7CEB6C3A" w14:textId="77777777" w:rsidR="00F35B3D" w:rsidRDefault="00F35B3D" w:rsidP="00F35B3D">
      <w:pPr>
        <w:pStyle w:val="EndnoteText1"/>
        <w:bidi/>
        <w:spacing w:line="240" w:lineRule="auto"/>
        <w:rPr>
          <w:rFonts w:asciiTheme="majorBidi" w:hAnsiTheme="majorBidi" w:cstheme="majorBidi"/>
          <w:u w:val="single"/>
          <w:rtl/>
        </w:rPr>
      </w:pPr>
    </w:p>
    <w:p w14:paraId="6EA3EE52" w14:textId="77777777" w:rsidR="00C24945" w:rsidRDefault="00C24945" w:rsidP="005248A5">
      <w:pPr>
        <w:bidi w:val="0"/>
        <w:rPr>
          <w:rFonts w:asciiTheme="majorBidi" w:hAnsiTheme="majorBidi" w:cstheme="majorBidi"/>
        </w:rPr>
      </w:pPr>
      <w:r w:rsidRPr="006210C3">
        <w:rPr>
          <w:rFonts w:asciiTheme="majorBidi" w:hAnsiTheme="majorBidi" w:cstheme="majorBidi"/>
        </w:rPr>
        <w:t xml:space="preserve">Chaves, Mark. 1994. Secularization as Declining Religious Authority. </w:t>
      </w:r>
      <w:r w:rsidRPr="00C24945">
        <w:rPr>
          <w:rFonts w:asciiTheme="majorBidi" w:hAnsiTheme="majorBidi" w:cstheme="majorBidi"/>
          <w:u w:val="single"/>
        </w:rPr>
        <w:t>Social Forces</w:t>
      </w:r>
      <w:r w:rsidRPr="006210C3">
        <w:rPr>
          <w:rFonts w:asciiTheme="majorBidi" w:hAnsiTheme="majorBidi" w:cstheme="majorBidi"/>
        </w:rPr>
        <w:t xml:space="preserve"> 72, 3: 749-774.</w:t>
      </w:r>
    </w:p>
    <w:p w14:paraId="21FAA65E" w14:textId="77777777" w:rsidR="00940F11" w:rsidRPr="006210C3" w:rsidRDefault="00940F11" w:rsidP="005248A5">
      <w:pPr>
        <w:bidi w:val="0"/>
        <w:rPr>
          <w:rFonts w:asciiTheme="majorBidi" w:hAnsiTheme="majorBidi" w:cstheme="majorBidi"/>
        </w:rPr>
      </w:pPr>
    </w:p>
    <w:p w14:paraId="27CD3140" w14:textId="6D855595" w:rsidR="00C24945" w:rsidRPr="00940F11" w:rsidRDefault="00C24945" w:rsidP="005248A5">
      <w:pPr>
        <w:pStyle w:val="bib"/>
        <w:spacing w:before="0" w:after="0" w:line="240" w:lineRule="auto"/>
        <w:ind w:left="0"/>
        <w:rPr>
          <w:sz w:val="24"/>
        </w:rPr>
      </w:pPr>
      <w:r>
        <w:rPr>
          <w:rStyle w:val="authorss"/>
          <w:b w:val="0"/>
          <w:bCs/>
        </w:rPr>
        <w:lastRenderedPageBreak/>
        <w:tab/>
      </w:r>
      <w:r w:rsidRPr="00940F11">
        <w:rPr>
          <w:rStyle w:val="authorss"/>
          <w:b w:val="0"/>
          <w:bCs/>
          <w:sz w:val="24"/>
        </w:rPr>
        <w:t>Casanova</w:t>
      </w:r>
      <w:r w:rsidRPr="00940F11">
        <w:rPr>
          <w:b/>
          <w:bCs/>
          <w:sz w:val="24"/>
        </w:rPr>
        <w:t xml:space="preserve">, </w:t>
      </w:r>
      <w:r w:rsidRPr="00940F11">
        <w:rPr>
          <w:rStyle w:val="authorsf"/>
          <w:b w:val="0"/>
          <w:bCs/>
          <w:sz w:val="24"/>
        </w:rPr>
        <w:t>Jose.</w:t>
      </w:r>
      <w:bookmarkStart w:id="1" w:name="tbbib48"/>
      <w:bookmarkEnd w:id="1"/>
      <w:r w:rsidRPr="00940F11">
        <w:rPr>
          <w:sz w:val="24"/>
        </w:rPr>
        <w:t xml:space="preserve">  </w:t>
      </w:r>
      <w:r w:rsidRPr="00940F11">
        <w:rPr>
          <w:rStyle w:val="date"/>
          <w:sz w:val="24"/>
        </w:rPr>
        <w:t>2006.</w:t>
      </w:r>
      <w:r w:rsidRPr="00940F11">
        <w:rPr>
          <w:sz w:val="24"/>
        </w:rPr>
        <w:t xml:space="preserve"> “Rethinking Secularization: A Global Comparative Perspective,” </w:t>
      </w:r>
      <w:r w:rsidRPr="00940F11">
        <w:rPr>
          <w:rStyle w:val="journal-title"/>
          <w:i w:val="0"/>
          <w:iCs/>
          <w:sz w:val="24"/>
          <w:u w:val="single"/>
        </w:rPr>
        <w:t>The Hedgehog Review</w:t>
      </w:r>
      <w:r w:rsidRPr="00940F11">
        <w:rPr>
          <w:rStyle w:val="journal-title"/>
          <w:sz w:val="24"/>
        </w:rPr>
        <w:t>,</w:t>
      </w:r>
      <w:r w:rsidRPr="00940F11">
        <w:rPr>
          <w:sz w:val="24"/>
        </w:rPr>
        <w:t xml:space="preserve"> Spring</w:t>
      </w:r>
      <w:r w:rsidRPr="00940F11">
        <w:rPr>
          <w:sz w:val="24"/>
        </w:rPr>
        <w:sym w:font="Symbol" w:char="002F"/>
      </w:r>
      <w:r w:rsidRPr="00940F11">
        <w:rPr>
          <w:sz w:val="24"/>
        </w:rPr>
        <w:t xml:space="preserve">Summer: </w:t>
      </w:r>
      <w:r w:rsidRPr="00940F11">
        <w:rPr>
          <w:rStyle w:val="pageextent"/>
          <w:sz w:val="24"/>
        </w:rPr>
        <w:t>7–22</w:t>
      </w:r>
      <w:r w:rsidRPr="00940F11">
        <w:rPr>
          <w:sz w:val="24"/>
        </w:rPr>
        <w:t>.</w:t>
      </w:r>
    </w:p>
    <w:p w14:paraId="4DD000F2" w14:textId="77777777" w:rsidR="0053065D" w:rsidRDefault="0053065D" w:rsidP="005248A5">
      <w:pPr>
        <w:pStyle w:val="EndnoteText1"/>
        <w:spacing w:line="240" w:lineRule="auto"/>
        <w:jc w:val="right"/>
        <w:rPr>
          <w:rFonts w:asciiTheme="majorBidi" w:hAnsiTheme="majorBidi" w:cstheme="majorBidi"/>
          <w:u w:val="single"/>
          <w:rtl/>
        </w:rPr>
      </w:pPr>
    </w:p>
    <w:p w14:paraId="05E73A92" w14:textId="36BEB91B" w:rsidR="006210C3" w:rsidRDefault="00C24945" w:rsidP="005248A5">
      <w:pPr>
        <w:pStyle w:val="EndnoteText1"/>
        <w:spacing w:line="240" w:lineRule="auto"/>
        <w:jc w:val="right"/>
        <w:rPr>
          <w:rFonts w:asciiTheme="majorBidi" w:hAnsiTheme="majorBidi" w:cstheme="majorBidi"/>
          <w:u w:val="single"/>
          <w:rtl/>
        </w:rPr>
      </w:pPr>
      <w:r>
        <w:rPr>
          <w:rFonts w:asciiTheme="majorBidi" w:hAnsiTheme="majorBidi" w:cstheme="majorBidi" w:hint="cs"/>
          <w:u w:val="single"/>
          <w:rtl/>
        </w:rPr>
        <w:t>שבוע 3: המדינה והדת</w:t>
      </w:r>
    </w:p>
    <w:p w14:paraId="316625A3" w14:textId="77777777" w:rsidR="0053065D" w:rsidRDefault="0053065D" w:rsidP="005248A5">
      <w:pPr>
        <w:pStyle w:val="EndnoteText1"/>
        <w:spacing w:line="240" w:lineRule="auto"/>
        <w:jc w:val="right"/>
        <w:rPr>
          <w:rFonts w:asciiTheme="majorBidi" w:hAnsiTheme="majorBidi" w:cstheme="majorBidi"/>
          <w:u w:val="single"/>
          <w:rtl/>
        </w:rPr>
      </w:pPr>
    </w:p>
    <w:p w14:paraId="12BEB01C" w14:textId="77777777" w:rsidR="005248A5" w:rsidRDefault="005248A5" w:rsidP="005248A5">
      <w:pPr>
        <w:pStyle w:val="EndnoteText1"/>
        <w:spacing w:line="240" w:lineRule="auto"/>
        <w:jc w:val="right"/>
        <w:rPr>
          <w:rFonts w:asciiTheme="majorBidi" w:hAnsiTheme="majorBidi" w:cstheme="majorBidi"/>
          <w:u w:val="single"/>
          <w:rtl/>
        </w:rPr>
      </w:pPr>
    </w:p>
    <w:p w14:paraId="3876D712" w14:textId="77777777" w:rsidR="00C24945" w:rsidRPr="000510A7" w:rsidRDefault="00940F11" w:rsidP="005248A5">
      <w:pPr>
        <w:bidi w:val="0"/>
        <w:ind w:hanging="720"/>
        <w:jc w:val="both"/>
      </w:pPr>
      <w:r>
        <w:tab/>
      </w:r>
      <w:r w:rsidR="00C24945">
        <w:t>Fox, Jonathan. 2006. “World Se</w:t>
      </w:r>
      <w:r>
        <w:t>paration of Religion and State i</w:t>
      </w:r>
      <w:r w:rsidR="00C24945">
        <w:t>nto the 21</w:t>
      </w:r>
      <w:r w:rsidR="00C24945" w:rsidRPr="000510A7">
        <w:rPr>
          <w:vertAlign w:val="superscript"/>
        </w:rPr>
        <w:t>st</w:t>
      </w:r>
      <w:r w:rsidR="00C24945">
        <w:t xml:space="preserve"> Century,” </w:t>
      </w:r>
      <w:r w:rsidR="00C24945" w:rsidRPr="00940F11">
        <w:rPr>
          <w:u w:val="single"/>
        </w:rPr>
        <w:t>Comparative Political Studies</w:t>
      </w:r>
      <w:r w:rsidR="00C24945">
        <w:t xml:space="preserve"> 39(5):537-569.</w:t>
      </w:r>
    </w:p>
    <w:p w14:paraId="4225B085" w14:textId="77777777" w:rsidR="00C24945" w:rsidRDefault="00C24945" w:rsidP="005248A5">
      <w:pPr>
        <w:bidi w:val="0"/>
        <w:rPr>
          <w:rStyle w:val="bold1"/>
          <w:rFonts w:asciiTheme="majorBidi" w:hAnsiTheme="majorBidi" w:cstheme="majorBidi"/>
          <w:b w:val="0"/>
          <w:bCs w:val="0"/>
        </w:rPr>
      </w:pPr>
    </w:p>
    <w:p w14:paraId="3AF1B622" w14:textId="77777777" w:rsidR="00D10379" w:rsidRPr="00C24945" w:rsidRDefault="007E3D02" w:rsidP="005248A5">
      <w:pPr>
        <w:rPr>
          <w:rFonts w:asciiTheme="majorBidi" w:hAnsiTheme="majorBidi" w:cstheme="majorBidi"/>
          <w:rtl/>
        </w:rPr>
      </w:pPr>
      <w:r w:rsidRPr="00C24945">
        <w:rPr>
          <w:rStyle w:val="bold1"/>
          <w:rFonts w:asciiTheme="majorBidi" w:hAnsiTheme="majorBidi" w:cstheme="majorBidi"/>
          <w:b w:val="0"/>
          <w:bCs w:val="0"/>
          <w:rtl/>
        </w:rPr>
        <w:t>גביזון</w:t>
      </w:r>
      <w:r w:rsidR="00C24945">
        <w:rPr>
          <w:rStyle w:val="bold1"/>
          <w:rFonts w:asciiTheme="majorBidi" w:hAnsiTheme="majorBidi" w:cstheme="majorBidi" w:hint="cs"/>
          <w:b w:val="0"/>
          <w:bCs w:val="0"/>
          <w:rtl/>
        </w:rPr>
        <w:t>, רות. 1995.</w:t>
      </w:r>
      <w:r w:rsidRPr="00C24945">
        <w:rPr>
          <w:rStyle w:val="bold1"/>
          <w:rFonts w:asciiTheme="majorBidi" w:hAnsiTheme="majorBidi" w:cstheme="majorBidi"/>
          <w:b w:val="0"/>
          <w:bCs w:val="0"/>
          <w:rtl/>
        </w:rPr>
        <w:t xml:space="preserve"> "דת ומדינה: הפרדה והפרטה" </w:t>
      </w:r>
      <w:r w:rsidRPr="00C24945">
        <w:rPr>
          <w:rStyle w:val="bold1"/>
          <w:rFonts w:asciiTheme="majorBidi" w:hAnsiTheme="majorBidi" w:cstheme="majorBidi"/>
          <w:b w:val="0"/>
          <w:bCs w:val="0"/>
          <w:u w:val="single"/>
          <w:rtl/>
        </w:rPr>
        <w:t>משפט וממשל</w:t>
      </w:r>
      <w:r w:rsidRPr="00C24945">
        <w:rPr>
          <w:rStyle w:val="bold1"/>
          <w:rFonts w:asciiTheme="majorBidi" w:hAnsiTheme="majorBidi" w:cstheme="majorBidi"/>
          <w:b w:val="0"/>
          <w:bCs w:val="0"/>
          <w:rtl/>
        </w:rPr>
        <w:t xml:space="preserve"> ב (תשנ"ד- תשנ"ה) 55.</w:t>
      </w:r>
    </w:p>
    <w:p w14:paraId="65E50BB1" w14:textId="77777777" w:rsidR="005248A5" w:rsidRDefault="005248A5" w:rsidP="005248A5">
      <w:pPr>
        <w:rPr>
          <w:rFonts w:asciiTheme="majorBidi" w:hAnsiTheme="majorBidi" w:cstheme="majorBidi"/>
          <w:rtl/>
        </w:rPr>
      </w:pPr>
    </w:p>
    <w:p w14:paraId="1EFE813C" w14:textId="77777777" w:rsidR="00D45727" w:rsidRDefault="00C24945" w:rsidP="005248A5">
      <w:pPr>
        <w:rPr>
          <w:rFonts w:asciiTheme="majorBidi" w:hAnsiTheme="majorBidi" w:cstheme="majorBidi"/>
          <w:rtl/>
        </w:rPr>
      </w:pPr>
      <w:r>
        <w:rPr>
          <w:rFonts w:asciiTheme="majorBidi" w:hAnsiTheme="majorBidi" w:cstheme="majorBidi" w:hint="cs"/>
          <w:rtl/>
        </w:rPr>
        <w:t>ספיר, גדעון. 2005. "</w:t>
      </w:r>
      <w:r w:rsidR="00D45727" w:rsidRPr="00C24945">
        <w:rPr>
          <w:rFonts w:asciiTheme="majorBidi" w:hAnsiTheme="majorBidi" w:cstheme="majorBidi"/>
          <w:rtl/>
        </w:rPr>
        <w:t>גבולות מיסוד הדת</w:t>
      </w:r>
      <w:r>
        <w:rPr>
          <w:rFonts w:asciiTheme="majorBidi" w:hAnsiTheme="majorBidi" w:cstheme="majorBidi" w:hint="cs"/>
          <w:rtl/>
        </w:rPr>
        <w:t>"</w:t>
      </w:r>
      <w:r w:rsidR="00D45727" w:rsidRPr="00C24945">
        <w:rPr>
          <w:rFonts w:asciiTheme="majorBidi" w:hAnsiTheme="majorBidi" w:cstheme="majorBidi"/>
          <w:rtl/>
        </w:rPr>
        <w:t xml:space="preserve"> </w:t>
      </w:r>
      <w:r w:rsidR="00D45727" w:rsidRPr="00C24945">
        <w:rPr>
          <w:rFonts w:asciiTheme="majorBidi" w:hAnsiTheme="majorBidi" w:cstheme="majorBidi"/>
          <w:u w:val="single"/>
          <w:rtl/>
        </w:rPr>
        <w:t>משפט וממשל</w:t>
      </w:r>
      <w:r w:rsidR="00D45727" w:rsidRPr="00C24945">
        <w:rPr>
          <w:rFonts w:asciiTheme="majorBidi" w:hAnsiTheme="majorBidi" w:cstheme="majorBidi"/>
          <w:rtl/>
        </w:rPr>
        <w:t xml:space="preserve"> ח 155-221 (תשס"ה)</w:t>
      </w:r>
    </w:p>
    <w:p w14:paraId="24B09EE9" w14:textId="77777777" w:rsidR="00D21209" w:rsidRDefault="00D21209" w:rsidP="005248A5">
      <w:pPr>
        <w:rPr>
          <w:rFonts w:asciiTheme="majorBidi" w:hAnsiTheme="majorBidi" w:cstheme="majorBidi"/>
          <w:rtl/>
        </w:rPr>
      </w:pPr>
    </w:p>
    <w:p w14:paraId="26CD0865" w14:textId="3FC13056" w:rsidR="00C24945" w:rsidRDefault="00940F11" w:rsidP="005248A5">
      <w:pPr>
        <w:rPr>
          <w:rFonts w:asciiTheme="majorBidi" w:hAnsiTheme="majorBidi" w:cstheme="majorBidi"/>
          <w:u w:val="single"/>
          <w:rtl/>
        </w:rPr>
      </w:pPr>
      <w:r>
        <w:rPr>
          <w:rFonts w:asciiTheme="majorBidi" w:hAnsiTheme="majorBidi" w:cstheme="majorBidi" w:hint="cs"/>
          <w:u w:val="single"/>
          <w:rtl/>
        </w:rPr>
        <w:t>שבוע 4: דת ודמוקרטיה</w:t>
      </w:r>
    </w:p>
    <w:p w14:paraId="716826B6" w14:textId="77777777" w:rsidR="0053065D" w:rsidRPr="00940F11" w:rsidRDefault="0053065D" w:rsidP="005248A5">
      <w:pPr>
        <w:rPr>
          <w:rFonts w:asciiTheme="majorBidi" w:hAnsiTheme="majorBidi" w:cstheme="majorBidi"/>
          <w:u w:val="single"/>
          <w:rtl/>
        </w:rPr>
      </w:pPr>
    </w:p>
    <w:p w14:paraId="22C7C390" w14:textId="77777777" w:rsidR="00940F11" w:rsidRPr="002D0AFC" w:rsidRDefault="002D0AFC" w:rsidP="005248A5">
      <w:pPr>
        <w:pStyle w:val="bib"/>
        <w:spacing w:line="240" w:lineRule="auto"/>
        <w:ind w:left="0"/>
        <w:jc w:val="both"/>
        <w:rPr>
          <w:sz w:val="24"/>
        </w:rPr>
      </w:pPr>
      <w:r>
        <w:rPr>
          <w:rStyle w:val="authorss"/>
          <w:b w:val="0"/>
          <w:bCs/>
        </w:rPr>
        <w:tab/>
      </w:r>
      <w:r w:rsidR="00940F11" w:rsidRPr="002D0AFC">
        <w:rPr>
          <w:rStyle w:val="authorss"/>
          <w:b w:val="0"/>
          <w:bCs/>
          <w:sz w:val="24"/>
        </w:rPr>
        <w:t>Walzer</w:t>
      </w:r>
      <w:r w:rsidR="00940F11" w:rsidRPr="002D0AFC">
        <w:rPr>
          <w:b/>
          <w:bCs/>
          <w:sz w:val="24"/>
        </w:rPr>
        <w:t xml:space="preserve">, </w:t>
      </w:r>
      <w:r w:rsidR="00940F11" w:rsidRPr="002D0AFC">
        <w:rPr>
          <w:rStyle w:val="authorsf"/>
          <w:b w:val="0"/>
          <w:bCs/>
          <w:sz w:val="24"/>
        </w:rPr>
        <w:t>Michael</w:t>
      </w:r>
      <w:r w:rsidR="00940F11" w:rsidRPr="002D0AFC">
        <w:rPr>
          <w:b/>
          <w:bCs/>
          <w:sz w:val="24"/>
        </w:rPr>
        <w:t>.</w:t>
      </w:r>
      <w:r w:rsidR="00940F11" w:rsidRPr="002D0AFC">
        <w:rPr>
          <w:sz w:val="24"/>
        </w:rPr>
        <w:t xml:space="preserve"> 1984. “</w:t>
      </w:r>
      <w:r w:rsidR="00940F11" w:rsidRPr="002D0AFC">
        <w:rPr>
          <w:rStyle w:val="Articletitle"/>
          <w:sz w:val="24"/>
        </w:rPr>
        <w:t>Liberalism and the Art of Separation,</w:t>
      </w:r>
      <w:r w:rsidR="00940F11" w:rsidRPr="002D0AFC">
        <w:rPr>
          <w:sz w:val="24"/>
        </w:rPr>
        <w:t xml:space="preserve">” </w:t>
      </w:r>
      <w:r w:rsidR="00940F11" w:rsidRPr="002D0AFC">
        <w:rPr>
          <w:rStyle w:val="journal-title"/>
          <w:i w:val="0"/>
          <w:iCs/>
          <w:sz w:val="24"/>
          <w:u w:val="single"/>
        </w:rPr>
        <w:t>Political Theory</w:t>
      </w:r>
      <w:r w:rsidR="00940F11" w:rsidRPr="002D0AFC">
        <w:rPr>
          <w:sz w:val="24"/>
        </w:rPr>
        <w:t xml:space="preserve"> </w:t>
      </w:r>
      <w:r w:rsidR="00940F11" w:rsidRPr="002D0AFC">
        <w:rPr>
          <w:rStyle w:val="volume"/>
          <w:sz w:val="24"/>
        </w:rPr>
        <w:t>12</w:t>
      </w:r>
      <w:r w:rsidR="00940F11" w:rsidRPr="002D0AFC">
        <w:rPr>
          <w:sz w:val="24"/>
        </w:rPr>
        <w:t>(</w:t>
      </w:r>
      <w:r w:rsidR="00940F11" w:rsidRPr="002D0AFC">
        <w:rPr>
          <w:rStyle w:val="pageextent"/>
          <w:sz w:val="24"/>
        </w:rPr>
        <w:t>3</w:t>
      </w:r>
      <w:r w:rsidR="00940F11" w:rsidRPr="002D0AFC">
        <w:rPr>
          <w:sz w:val="24"/>
        </w:rPr>
        <w:t xml:space="preserve">): </w:t>
      </w:r>
      <w:r w:rsidR="00940F11" w:rsidRPr="002D0AFC">
        <w:rPr>
          <w:rStyle w:val="pageextent"/>
          <w:sz w:val="24"/>
        </w:rPr>
        <w:t>315–330</w:t>
      </w:r>
      <w:r w:rsidR="00940F11" w:rsidRPr="002D0AFC">
        <w:rPr>
          <w:sz w:val="24"/>
        </w:rPr>
        <w:t>.</w:t>
      </w:r>
    </w:p>
    <w:p w14:paraId="64A63FFB" w14:textId="77777777" w:rsidR="002D0AFC" w:rsidRDefault="002D0AFC" w:rsidP="005248A5">
      <w:pPr>
        <w:bidi w:val="0"/>
        <w:jc w:val="both"/>
      </w:pPr>
      <w:r w:rsidRPr="002D0AFC">
        <w:t xml:space="preserve">Alfred Stepan, 2000. “Religion, democracy, and the “twin tolerations,” </w:t>
      </w:r>
      <w:r w:rsidRPr="002D0AFC">
        <w:rPr>
          <w:u w:val="single"/>
        </w:rPr>
        <w:t>Journal of Democracy</w:t>
      </w:r>
      <w:r w:rsidRPr="002D0AFC">
        <w:t>, 11:4, 37-56.</w:t>
      </w:r>
    </w:p>
    <w:p w14:paraId="58F163C3" w14:textId="77777777" w:rsidR="001F0867" w:rsidRDefault="001F0867" w:rsidP="001F0867">
      <w:pPr>
        <w:bidi w:val="0"/>
        <w:jc w:val="both"/>
      </w:pPr>
    </w:p>
    <w:p w14:paraId="23066F60" w14:textId="77777777" w:rsidR="001F0867" w:rsidRPr="002D0AFC" w:rsidRDefault="001F0867" w:rsidP="001F0867">
      <w:pPr>
        <w:bidi w:val="0"/>
        <w:jc w:val="both"/>
      </w:pPr>
    </w:p>
    <w:p w14:paraId="48EB6814" w14:textId="77777777" w:rsidR="002D0AFC" w:rsidRDefault="002D0AFC" w:rsidP="001F0867">
      <w:pPr>
        <w:pStyle w:val="bib"/>
        <w:bidi/>
        <w:spacing w:before="0" w:after="0" w:line="240" w:lineRule="auto"/>
        <w:jc w:val="both"/>
        <w:rPr>
          <w:sz w:val="24"/>
          <w:u w:val="single"/>
          <w:rtl/>
          <w:lang w:bidi="he-IL"/>
        </w:rPr>
      </w:pPr>
      <w:r w:rsidRPr="002D0AFC">
        <w:rPr>
          <w:rFonts w:hint="cs"/>
          <w:sz w:val="24"/>
          <w:u w:val="single"/>
          <w:rtl/>
          <w:lang w:bidi="he-IL"/>
        </w:rPr>
        <w:t xml:space="preserve">שבוע </w:t>
      </w:r>
      <w:r w:rsidR="001F0867">
        <w:rPr>
          <w:rFonts w:hint="cs"/>
          <w:sz w:val="24"/>
          <w:u w:val="single"/>
          <w:rtl/>
          <w:lang w:bidi="he-IL"/>
        </w:rPr>
        <w:t>5</w:t>
      </w:r>
      <w:r w:rsidRPr="002D0AFC">
        <w:rPr>
          <w:rFonts w:hint="cs"/>
          <w:sz w:val="24"/>
          <w:u w:val="single"/>
          <w:rtl/>
          <w:lang w:bidi="he-IL"/>
        </w:rPr>
        <w:t>: דת וכלכלה</w:t>
      </w:r>
    </w:p>
    <w:p w14:paraId="0A049592" w14:textId="77777777" w:rsidR="001F0867" w:rsidRPr="002D0AFC" w:rsidRDefault="001F0867" w:rsidP="001F0867">
      <w:pPr>
        <w:pStyle w:val="bib"/>
        <w:bidi/>
        <w:spacing w:before="0" w:after="0" w:line="240" w:lineRule="auto"/>
        <w:jc w:val="both"/>
        <w:rPr>
          <w:sz w:val="24"/>
          <w:u w:val="single"/>
          <w:rtl/>
          <w:lang w:bidi="he-IL"/>
        </w:rPr>
      </w:pPr>
    </w:p>
    <w:p w14:paraId="6CEAAE65" w14:textId="77777777" w:rsidR="002D0AFC" w:rsidRDefault="002D0AFC" w:rsidP="001F0867">
      <w:pPr>
        <w:pStyle w:val="EndnoteText"/>
        <w:rPr>
          <w:rFonts w:asciiTheme="majorBidi" w:hAnsiTheme="majorBidi" w:cstheme="majorBidi"/>
          <w:sz w:val="24"/>
          <w:szCs w:val="24"/>
          <w:rtl/>
        </w:rPr>
      </w:pPr>
      <w:r w:rsidRPr="006210C3">
        <w:rPr>
          <w:rFonts w:asciiTheme="majorBidi" w:hAnsiTheme="majorBidi" w:cstheme="majorBidi"/>
          <w:sz w:val="24"/>
          <w:szCs w:val="24"/>
          <w:rtl/>
        </w:rPr>
        <w:t>ובר</w:t>
      </w:r>
      <w:r w:rsidR="005248A5">
        <w:rPr>
          <w:rFonts w:asciiTheme="majorBidi" w:hAnsiTheme="majorBidi" w:cstheme="majorBidi" w:hint="cs"/>
          <w:sz w:val="24"/>
          <w:szCs w:val="24"/>
          <w:rtl/>
        </w:rPr>
        <w:t>, מקס.</w:t>
      </w:r>
      <w:r w:rsidRPr="006210C3">
        <w:rPr>
          <w:rFonts w:asciiTheme="majorBidi" w:hAnsiTheme="majorBidi" w:cstheme="majorBidi"/>
          <w:sz w:val="24"/>
          <w:szCs w:val="24"/>
          <w:rtl/>
        </w:rPr>
        <w:t xml:space="preserve"> </w:t>
      </w:r>
      <w:r w:rsidRPr="001F0867">
        <w:rPr>
          <w:rFonts w:asciiTheme="majorBidi" w:hAnsiTheme="majorBidi" w:cstheme="majorBidi"/>
          <w:sz w:val="24"/>
          <w:szCs w:val="24"/>
          <w:u w:val="single"/>
          <w:rtl/>
        </w:rPr>
        <w:t>האתיקה הפרוטסטנטית</w:t>
      </w:r>
      <w:r w:rsidRPr="006210C3">
        <w:rPr>
          <w:rFonts w:asciiTheme="majorBidi" w:hAnsiTheme="majorBidi" w:cstheme="majorBidi"/>
          <w:sz w:val="24"/>
          <w:szCs w:val="24"/>
          <w:rtl/>
        </w:rPr>
        <w:t xml:space="preserve"> </w:t>
      </w:r>
    </w:p>
    <w:p w14:paraId="023146EA" w14:textId="77777777" w:rsidR="005248A5" w:rsidRPr="006210C3" w:rsidRDefault="005248A5" w:rsidP="001F0867">
      <w:pPr>
        <w:pStyle w:val="EndnoteText"/>
        <w:rPr>
          <w:rFonts w:asciiTheme="majorBidi" w:hAnsiTheme="majorBidi" w:cstheme="majorBidi"/>
          <w:sz w:val="24"/>
          <w:szCs w:val="24"/>
          <w:rtl/>
        </w:rPr>
      </w:pPr>
    </w:p>
    <w:p w14:paraId="36E27FF8" w14:textId="7C719F94" w:rsidR="00DD2E59" w:rsidRPr="00DD2E59" w:rsidRDefault="00DD2E59" w:rsidP="001F0867">
      <w:pPr>
        <w:rPr>
          <w:rFonts w:asciiTheme="majorBidi" w:hAnsiTheme="majorBidi" w:cstheme="majorBidi"/>
          <w:rtl/>
        </w:rPr>
      </w:pPr>
      <w:r>
        <w:rPr>
          <w:rFonts w:asciiTheme="majorBidi" w:hAnsiTheme="majorBidi" w:cstheme="majorBidi" w:hint="cs"/>
          <w:rtl/>
        </w:rPr>
        <w:t xml:space="preserve">ליאון, ניסים. 2009. "דת, מעמד ופעולה פוליטית בציונות הדתית בישראל." </w:t>
      </w:r>
      <w:r>
        <w:rPr>
          <w:rFonts w:asciiTheme="majorBidi" w:hAnsiTheme="majorBidi" w:cstheme="majorBidi" w:hint="cs"/>
          <w:u w:val="single"/>
          <w:rtl/>
        </w:rPr>
        <w:t>תרבות דמוקרטית</w:t>
      </w:r>
      <w:r>
        <w:rPr>
          <w:rFonts w:asciiTheme="majorBidi" w:hAnsiTheme="majorBidi" w:cstheme="majorBidi" w:hint="cs"/>
          <w:rtl/>
        </w:rPr>
        <w:t xml:space="preserve"> 12: 105-144.</w:t>
      </w:r>
    </w:p>
    <w:p w14:paraId="38324ABB" w14:textId="77777777" w:rsidR="0053065D" w:rsidRDefault="0053065D" w:rsidP="001F0867">
      <w:pPr>
        <w:pStyle w:val="bib"/>
        <w:bidi/>
        <w:spacing w:before="0" w:after="0" w:line="240" w:lineRule="auto"/>
        <w:jc w:val="both"/>
        <w:rPr>
          <w:sz w:val="24"/>
          <w:u w:val="single"/>
          <w:rtl/>
          <w:lang w:bidi="he-IL"/>
        </w:rPr>
      </w:pPr>
    </w:p>
    <w:p w14:paraId="4611304D" w14:textId="43A1FB4B" w:rsidR="001F0867" w:rsidRDefault="001F0867" w:rsidP="0053065D">
      <w:pPr>
        <w:pStyle w:val="bib"/>
        <w:bidi/>
        <w:spacing w:before="0" w:after="0" w:line="240" w:lineRule="auto"/>
        <w:jc w:val="both"/>
        <w:rPr>
          <w:sz w:val="24"/>
          <w:rtl/>
          <w:lang w:bidi="he-IL"/>
        </w:rPr>
      </w:pPr>
      <w:r>
        <w:rPr>
          <w:rFonts w:hint="cs"/>
          <w:sz w:val="24"/>
          <w:u w:val="single"/>
          <w:rtl/>
          <w:lang w:bidi="he-IL"/>
        </w:rPr>
        <w:t>שבוע  6: דת</w:t>
      </w:r>
      <w:r w:rsidR="00E0476D">
        <w:rPr>
          <w:rFonts w:hint="cs"/>
          <w:sz w:val="24"/>
          <w:u w:val="single"/>
          <w:rtl/>
          <w:lang w:bidi="he-IL"/>
        </w:rPr>
        <w:t>, אתניות</w:t>
      </w:r>
      <w:r>
        <w:rPr>
          <w:rFonts w:hint="cs"/>
          <w:sz w:val="24"/>
          <w:u w:val="single"/>
          <w:rtl/>
          <w:lang w:bidi="he-IL"/>
        </w:rPr>
        <w:t xml:space="preserve"> ולאומיות</w:t>
      </w:r>
    </w:p>
    <w:p w14:paraId="1C76E499" w14:textId="77777777" w:rsidR="001F0867" w:rsidRDefault="001F0867" w:rsidP="001F0867">
      <w:pPr>
        <w:pStyle w:val="bib"/>
        <w:bidi/>
        <w:spacing w:before="0" w:after="0" w:line="240" w:lineRule="auto"/>
        <w:jc w:val="both"/>
        <w:rPr>
          <w:sz w:val="24"/>
          <w:rtl/>
          <w:lang w:bidi="he-IL"/>
        </w:rPr>
      </w:pPr>
    </w:p>
    <w:p w14:paraId="182C8745" w14:textId="77777777" w:rsidR="001F0867" w:rsidRDefault="00E0476D" w:rsidP="00E0476D">
      <w:pPr>
        <w:pStyle w:val="bib"/>
        <w:spacing w:before="0" w:after="0" w:line="240" w:lineRule="auto"/>
        <w:ind w:left="142"/>
        <w:rPr>
          <w:sz w:val="24"/>
          <w:lang w:bidi="he-IL"/>
        </w:rPr>
      </w:pPr>
      <w:r>
        <w:rPr>
          <w:sz w:val="24"/>
          <w:lang w:bidi="he-IL"/>
        </w:rPr>
        <w:tab/>
      </w:r>
      <w:r w:rsidR="001F0867">
        <w:rPr>
          <w:sz w:val="24"/>
          <w:lang w:bidi="he-IL"/>
        </w:rPr>
        <w:t xml:space="preserve">Brubaker, Rogers. 2012. “Religion and Nationalism: Four Approaches.” </w:t>
      </w:r>
      <w:r w:rsidR="001F0867">
        <w:rPr>
          <w:sz w:val="24"/>
          <w:u w:val="single"/>
          <w:lang w:bidi="he-IL"/>
        </w:rPr>
        <w:t>Nations and Nationalism</w:t>
      </w:r>
      <w:r>
        <w:rPr>
          <w:sz w:val="24"/>
          <w:lang w:bidi="he-IL"/>
        </w:rPr>
        <w:t xml:space="preserve"> 18(1): 2-20.</w:t>
      </w:r>
    </w:p>
    <w:p w14:paraId="7F4E12B1" w14:textId="77777777" w:rsidR="00E0476D" w:rsidRDefault="00E0476D" w:rsidP="00E0476D">
      <w:pPr>
        <w:pStyle w:val="bib"/>
        <w:spacing w:before="0" w:after="0" w:line="240" w:lineRule="auto"/>
        <w:ind w:left="142"/>
        <w:rPr>
          <w:sz w:val="24"/>
          <w:lang w:bidi="he-IL"/>
        </w:rPr>
      </w:pPr>
      <w:r>
        <w:rPr>
          <w:sz w:val="24"/>
          <w:lang w:bidi="he-IL"/>
        </w:rPr>
        <w:tab/>
      </w:r>
    </w:p>
    <w:p w14:paraId="71300C14" w14:textId="77777777" w:rsidR="00E0476D" w:rsidRPr="00E0476D" w:rsidRDefault="00E0476D" w:rsidP="00E0476D">
      <w:pPr>
        <w:pStyle w:val="bib"/>
        <w:spacing w:before="0" w:after="0" w:line="240" w:lineRule="auto"/>
        <w:ind w:left="142"/>
        <w:rPr>
          <w:sz w:val="24"/>
        </w:rPr>
      </w:pPr>
      <w:r>
        <w:rPr>
          <w:sz w:val="24"/>
          <w:lang w:bidi="he-IL"/>
        </w:rPr>
        <w:tab/>
      </w:r>
      <w:r w:rsidRPr="00E0476D">
        <w:rPr>
          <w:rStyle w:val="authorss"/>
          <w:b w:val="0"/>
          <w:bCs/>
          <w:sz w:val="24"/>
        </w:rPr>
        <w:t>Mitchell</w:t>
      </w:r>
      <w:r w:rsidRPr="00E0476D">
        <w:rPr>
          <w:b/>
          <w:bCs/>
          <w:sz w:val="24"/>
        </w:rPr>
        <w:t xml:space="preserve">, </w:t>
      </w:r>
      <w:r w:rsidRPr="00E0476D">
        <w:rPr>
          <w:rStyle w:val="authorsf"/>
          <w:b w:val="0"/>
          <w:bCs/>
          <w:sz w:val="24"/>
        </w:rPr>
        <w:t>Claire</w:t>
      </w:r>
      <w:r w:rsidRPr="00E0476D">
        <w:rPr>
          <w:sz w:val="24"/>
        </w:rPr>
        <w:t xml:space="preserve">. </w:t>
      </w:r>
      <w:r w:rsidRPr="00E0476D">
        <w:rPr>
          <w:rStyle w:val="date"/>
          <w:sz w:val="24"/>
        </w:rPr>
        <w:t>2006</w:t>
      </w:r>
      <w:r w:rsidRPr="00E0476D">
        <w:rPr>
          <w:sz w:val="24"/>
        </w:rPr>
        <w:t>. “</w:t>
      </w:r>
      <w:r w:rsidRPr="00E0476D">
        <w:rPr>
          <w:rStyle w:val="Articletitle"/>
          <w:sz w:val="24"/>
        </w:rPr>
        <w:t>The Religious Content of Ethnic Identities,</w:t>
      </w:r>
      <w:r w:rsidRPr="00E0476D">
        <w:rPr>
          <w:sz w:val="24"/>
        </w:rPr>
        <w:t xml:space="preserve">” </w:t>
      </w:r>
      <w:r w:rsidRPr="00E0476D">
        <w:rPr>
          <w:rStyle w:val="journal-title"/>
          <w:i w:val="0"/>
          <w:iCs/>
          <w:sz w:val="24"/>
          <w:u w:val="single"/>
        </w:rPr>
        <w:t>Sociology</w:t>
      </w:r>
      <w:r w:rsidRPr="00E0476D">
        <w:rPr>
          <w:sz w:val="24"/>
        </w:rPr>
        <w:t xml:space="preserve"> </w:t>
      </w:r>
      <w:r w:rsidRPr="00E0476D">
        <w:rPr>
          <w:rStyle w:val="volume"/>
          <w:sz w:val="24"/>
        </w:rPr>
        <w:t>40</w:t>
      </w:r>
      <w:r w:rsidRPr="00E0476D">
        <w:rPr>
          <w:sz w:val="24"/>
        </w:rPr>
        <w:t xml:space="preserve">(6): </w:t>
      </w:r>
      <w:r w:rsidRPr="00E0476D">
        <w:rPr>
          <w:rStyle w:val="pageextent"/>
          <w:sz w:val="24"/>
        </w:rPr>
        <w:t>1135–1152</w:t>
      </w:r>
      <w:r w:rsidRPr="00E0476D">
        <w:rPr>
          <w:sz w:val="24"/>
        </w:rPr>
        <w:t>.</w:t>
      </w:r>
    </w:p>
    <w:p w14:paraId="5B4C5E2A" w14:textId="77777777" w:rsidR="00E0476D" w:rsidRPr="00E0476D" w:rsidRDefault="00E0476D" w:rsidP="00E0476D">
      <w:pPr>
        <w:pStyle w:val="bib"/>
        <w:spacing w:before="0" w:after="0" w:line="240" w:lineRule="auto"/>
        <w:ind w:left="142"/>
        <w:rPr>
          <w:sz w:val="24"/>
          <w:lang w:bidi="he-IL"/>
        </w:rPr>
      </w:pPr>
    </w:p>
    <w:p w14:paraId="1BC557B0" w14:textId="0F49E4EF" w:rsidR="005248A5" w:rsidRDefault="005248A5" w:rsidP="00E0476D">
      <w:pPr>
        <w:rPr>
          <w:rFonts w:asciiTheme="majorBidi" w:hAnsiTheme="majorBidi" w:cstheme="majorBidi"/>
          <w:rtl/>
        </w:rPr>
      </w:pPr>
      <w:r>
        <w:rPr>
          <w:rFonts w:asciiTheme="majorBidi" w:hAnsiTheme="majorBidi" w:cstheme="majorBidi" w:hint="cs"/>
          <w:u w:val="single"/>
          <w:rtl/>
        </w:rPr>
        <w:t xml:space="preserve">שבוע </w:t>
      </w:r>
      <w:r w:rsidR="00E0476D">
        <w:rPr>
          <w:rFonts w:asciiTheme="majorBidi" w:hAnsiTheme="majorBidi" w:cstheme="majorBidi"/>
          <w:u w:val="single"/>
        </w:rPr>
        <w:t>7</w:t>
      </w:r>
      <w:r>
        <w:rPr>
          <w:rFonts w:asciiTheme="majorBidi" w:hAnsiTheme="majorBidi" w:cstheme="majorBidi" w:hint="cs"/>
          <w:u w:val="single"/>
          <w:rtl/>
        </w:rPr>
        <w:t xml:space="preserve">: דת </w:t>
      </w:r>
      <w:r w:rsidR="00646B74">
        <w:rPr>
          <w:rFonts w:asciiTheme="majorBidi" w:hAnsiTheme="majorBidi" w:cstheme="majorBidi" w:hint="cs"/>
          <w:u w:val="single"/>
          <w:rtl/>
        </w:rPr>
        <w:t>וקונפליקט</w:t>
      </w:r>
    </w:p>
    <w:p w14:paraId="7CC1BA06" w14:textId="77777777" w:rsidR="005248A5" w:rsidRDefault="005248A5" w:rsidP="001F0867">
      <w:pPr>
        <w:rPr>
          <w:rFonts w:asciiTheme="majorBidi" w:hAnsiTheme="majorBidi" w:cstheme="majorBidi"/>
          <w:rtl/>
        </w:rPr>
      </w:pPr>
    </w:p>
    <w:p w14:paraId="4ECDE2F8" w14:textId="7EC340A1" w:rsidR="00E0476D" w:rsidRPr="00646B74" w:rsidRDefault="00646B74" w:rsidP="00646B74">
      <w:pPr>
        <w:ind w:left="720" w:hanging="720"/>
        <w:jc w:val="both"/>
        <w:rPr>
          <w:rtl/>
          <w:lang w:val="en-GB"/>
        </w:rPr>
      </w:pPr>
      <w:r>
        <w:rPr>
          <w:rFonts w:hint="cs"/>
          <w:rtl/>
        </w:rPr>
        <w:t xml:space="preserve">יורנסמאייר, מרק. 2002. "עלייתה העולמית של הלאומנות הדתית" בתוך הורוביץ, נ. (עורך) </w:t>
      </w:r>
      <w:r>
        <w:rPr>
          <w:rFonts w:hint="cs"/>
          <w:u w:val="single"/>
          <w:rtl/>
        </w:rPr>
        <w:t>דת ולאומיות בישראל ובמזרח התיכון</w:t>
      </w:r>
      <w:r>
        <w:rPr>
          <w:rFonts w:hint="cs"/>
          <w:rtl/>
        </w:rPr>
        <w:t xml:space="preserve"> תל-אביב: מרכז רבין.</w:t>
      </w:r>
    </w:p>
    <w:p w14:paraId="4B892952" w14:textId="77777777" w:rsidR="00E0476D" w:rsidRPr="001F0867" w:rsidRDefault="00E0476D" w:rsidP="00E0476D">
      <w:pPr>
        <w:bidi w:val="0"/>
        <w:rPr>
          <w:rFonts w:asciiTheme="majorBidi" w:hAnsiTheme="majorBidi" w:cstheme="majorBidi"/>
        </w:rPr>
      </w:pPr>
    </w:p>
    <w:p w14:paraId="59B65FE8" w14:textId="77777777" w:rsidR="00E0476D" w:rsidRDefault="00E0476D" w:rsidP="00E0476D">
      <w:pPr>
        <w:ind w:left="720" w:hanging="720"/>
        <w:contextualSpacing/>
        <w:jc w:val="right"/>
        <w:rPr>
          <w:rFonts w:cs="Times"/>
        </w:rPr>
      </w:pPr>
      <w:r>
        <w:rPr>
          <w:rFonts w:cs="Times"/>
        </w:rPr>
        <w:t xml:space="preserve">Hassner, Ron. Summer 2003. “’To Halve and to Hold’: Conflicts over sacred space and the problem of indivisibility,” </w:t>
      </w:r>
      <w:r>
        <w:rPr>
          <w:rFonts w:cs="Times"/>
          <w:i/>
          <w:iCs/>
        </w:rPr>
        <w:t xml:space="preserve">Security </w:t>
      </w:r>
      <w:r w:rsidRPr="00C5476A">
        <w:rPr>
          <w:rFonts w:cs="Times"/>
          <w:i/>
          <w:iCs/>
        </w:rPr>
        <w:t>Studies</w:t>
      </w:r>
      <w:r>
        <w:rPr>
          <w:rFonts w:cs="Times"/>
        </w:rPr>
        <w:t xml:space="preserve"> 12(4): 1-33.</w:t>
      </w:r>
    </w:p>
    <w:p w14:paraId="448A2817" w14:textId="29A7A6A7" w:rsidR="00E0476D" w:rsidRDefault="00E0476D" w:rsidP="00E0476D">
      <w:pPr>
        <w:ind w:left="720" w:hanging="720"/>
        <w:contextualSpacing/>
        <w:jc w:val="right"/>
        <w:rPr>
          <w:rFonts w:cs="Times"/>
          <w:rtl/>
        </w:rPr>
      </w:pPr>
    </w:p>
    <w:p w14:paraId="1FB11ABA" w14:textId="685B250A" w:rsidR="00DD2E59" w:rsidRDefault="00DD2E59" w:rsidP="00E0476D">
      <w:pPr>
        <w:ind w:left="720" w:hanging="720"/>
        <w:contextualSpacing/>
        <w:jc w:val="right"/>
        <w:rPr>
          <w:rFonts w:cs="Times"/>
          <w:rtl/>
        </w:rPr>
      </w:pPr>
    </w:p>
    <w:p w14:paraId="0BA8D7D0" w14:textId="676BFE9B" w:rsidR="00DD2E59" w:rsidRDefault="00DD2E59" w:rsidP="00E0476D">
      <w:pPr>
        <w:ind w:left="720" w:hanging="720"/>
        <w:contextualSpacing/>
        <w:jc w:val="right"/>
        <w:rPr>
          <w:rFonts w:cs="Times"/>
          <w:rtl/>
        </w:rPr>
      </w:pPr>
    </w:p>
    <w:p w14:paraId="35137B6B" w14:textId="47727C0E" w:rsidR="00DD2E59" w:rsidRDefault="00DD2E59" w:rsidP="00E0476D">
      <w:pPr>
        <w:ind w:left="720" w:hanging="720"/>
        <w:contextualSpacing/>
        <w:jc w:val="right"/>
        <w:rPr>
          <w:rFonts w:cs="Times"/>
          <w:rtl/>
        </w:rPr>
      </w:pPr>
    </w:p>
    <w:p w14:paraId="0E0E0A2B" w14:textId="77777777" w:rsidR="00DD2E59" w:rsidRDefault="00DD2E59" w:rsidP="00E0476D">
      <w:pPr>
        <w:ind w:left="720" w:hanging="720"/>
        <w:contextualSpacing/>
        <w:jc w:val="right"/>
        <w:rPr>
          <w:rFonts w:cs="Times"/>
        </w:rPr>
      </w:pPr>
    </w:p>
    <w:p w14:paraId="0A98EA33" w14:textId="77777777" w:rsidR="00DD2E59" w:rsidRDefault="00DD2E59" w:rsidP="00E0476D">
      <w:pPr>
        <w:spacing w:line="360" w:lineRule="auto"/>
        <w:jc w:val="both"/>
        <w:rPr>
          <w:rFonts w:asciiTheme="majorBidi" w:hAnsiTheme="majorBidi" w:cstheme="majorBidi"/>
          <w:u w:val="single"/>
          <w:rtl/>
        </w:rPr>
      </w:pPr>
    </w:p>
    <w:p w14:paraId="0171E90D" w14:textId="275D67B7" w:rsidR="00E0476D" w:rsidRDefault="003D0E42" w:rsidP="00E0476D">
      <w:pPr>
        <w:spacing w:line="360" w:lineRule="auto"/>
        <w:jc w:val="both"/>
        <w:rPr>
          <w:rFonts w:asciiTheme="majorBidi" w:hAnsiTheme="majorBidi" w:cstheme="majorBidi"/>
          <w:u w:val="single"/>
          <w:rtl/>
        </w:rPr>
      </w:pPr>
      <w:r w:rsidRPr="003D0E42">
        <w:rPr>
          <w:rFonts w:asciiTheme="majorBidi" w:hAnsiTheme="majorBidi" w:cstheme="majorBidi" w:hint="cs"/>
          <w:u w:val="single"/>
          <w:rtl/>
        </w:rPr>
        <w:lastRenderedPageBreak/>
        <w:t xml:space="preserve">שבוע </w:t>
      </w:r>
      <w:r w:rsidR="00646B74">
        <w:rPr>
          <w:rFonts w:asciiTheme="majorBidi" w:hAnsiTheme="majorBidi" w:cstheme="majorBidi" w:hint="cs"/>
          <w:u w:val="single"/>
          <w:rtl/>
        </w:rPr>
        <w:t>8</w:t>
      </w:r>
      <w:r w:rsidRPr="003D0E42">
        <w:rPr>
          <w:rFonts w:asciiTheme="majorBidi" w:hAnsiTheme="majorBidi" w:cstheme="majorBidi" w:hint="cs"/>
          <w:u w:val="single"/>
          <w:rtl/>
        </w:rPr>
        <w:t>: הסדרה דתית (המקרה הישראלי)</w:t>
      </w:r>
    </w:p>
    <w:p w14:paraId="4560B25E" w14:textId="77777777" w:rsidR="00DD2E59" w:rsidRPr="003D0E42" w:rsidRDefault="00DD2E59" w:rsidP="00E0476D">
      <w:pPr>
        <w:spacing w:line="360" w:lineRule="auto"/>
        <w:jc w:val="both"/>
        <w:rPr>
          <w:rFonts w:asciiTheme="majorBidi" w:hAnsiTheme="majorBidi" w:cstheme="majorBidi"/>
          <w:u w:val="single"/>
          <w:rtl/>
        </w:rPr>
      </w:pPr>
    </w:p>
    <w:p w14:paraId="0A063C12" w14:textId="77777777" w:rsidR="008F0DFD" w:rsidRPr="006210C3" w:rsidRDefault="008F0DFD" w:rsidP="008F0DFD">
      <w:pPr>
        <w:rPr>
          <w:rFonts w:asciiTheme="majorBidi" w:hAnsiTheme="majorBidi" w:cstheme="majorBidi"/>
          <w:i/>
          <w:iCs/>
          <w:rtl/>
        </w:rPr>
      </w:pPr>
      <w:r w:rsidRPr="006210C3">
        <w:rPr>
          <w:rFonts w:asciiTheme="majorBidi" w:hAnsiTheme="majorBidi" w:cstheme="majorBidi"/>
          <w:rtl/>
        </w:rPr>
        <w:t xml:space="preserve">דון-יחיא, אליעזר. 1997. </w:t>
      </w:r>
      <w:r w:rsidRPr="006210C3">
        <w:rPr>
          <w:rFonts w:asciiTheme="majorBidi" w:hAnsiTheme="majorBidi" w:cstheme="majorBidi"/>
          <w:i/>
          <w:iCs/>
          <w:rtl/>
        </w:rPr>
        <w:t>הפוליטיקה של ההסדרה: יישוב סכסוכים בנושאי דת בישראל.</w:t>
      </w:r>
      <w:r w:rsidRPr="006210C3">
        <w:rPr>
          <w:rFonts w:asciiTheme="majorBidi" w:hAnsiTheme="majorBidi" w:cstheme="majorBidi"/>
          <w:rtl/>
        </w:rPr>
        <w:t xml:space="preserve"> ירושלים: מכון פלורסהיימר למחקרי מדיניות.</w:t>
      </w:r>
    </w:p>
    <w:p w14:paraId="2C3B2652" w14:textId="77777777" w:rsidR="00D45727" w:rsidRPr="006210C3" w:rsidRDefault="00D45727" w:rsidP="008F0DFD">
      <w:pPr>
        <w:rPr>
          <w:rFonts w:asciiTheme="majorBidi" w:hAnsiTheme="majorBidi" w:cstheme="majorBidi"/>
          <w:i/>
          <w:iCs/>
          <w:rtl/>
        </w:rPr>
      </w:pPr>
    </w:p>
    <w:p w14:paraId="7439EFCF" w14:textId="77777777" w:rsidR="00D45727" w:rsidRPr="006210C3" w:rsidRDefault="00D45727" w:rsidP="00846DBB">
      <w:pPr>
        <w:rPr>
          <w:rFonts w:asciiTheme="majorBidi" w:hAnsiTheme="majorBidi" w:cstheme="majorBidi"/>
          <w:i/>
          <w:iCs/>
          <w:rtl/>
        </w:rPr>
      </w:pPr>
      <w:r w:rsidRPr="006210C3">
        <w:rPr>
          <w:rStyle w:val="bold1"/>
          <w:rFonts w:asciiTheme="majorBidi" w:hAnsiTheme="majorBidi" w:cstheme="majorBidi"/>
          <w:b w:val="0"/>
          <w:bCs w:val="0"/>
          <w:rtl/>
        </w:rPr>
        <w:t>קורינלדי מיכאל</w:t>
      </w:r>
      <w:r w:rsidR="00846DBB" w:rsidRPr="006210C3">
        <w:rPr>
          <w:rStyle w:val="bold1"/>
          <w:rFonts w:asciiTheme="majorBidi" w:hAnsiTheme="majorBidi" w:cstheme="majorBidi"/>
          <w:b w:val="0"/>
          <w:bCs w:val="0"/>
          <w:rtl/>
        </w:rPr>
        <w:t xml:space="preserve"> 2003</w:t>
      </w:r>
      <w:r w:rsidRPr="006210C3">
        <w:rPr>
          <w:rStyle w:val="bold1"/>
          <w:rFonts w:asciiTheme="majorBidi" w:hAnsiTheme="majorBidi" w:cstheme="majorBidi"/>
          <w:b w:val="0"/>
          <w:bCs w:val="0"/>
          <w:rtl/>
        </w:rPr>
        <w:t xml:space="preserve"> חופש הדת בישראל - במה נשתנה ה"סטאטוס קוו?"</w:t>
      </w:r>
      <w:r w:rsidRPr="006210C3">
        <w:rPr>
          <w:rStyle w:val="bold1"/>
          <w:rFonts w:asciiTheme="majorBidi" w:hAnsiTheme="majorBidi" w:cstheme="majorBidi"/>
          <w:rtl/>
        </w:rPr>
        <w:t xml:space="preserve"> שערי משפט</w:t>
      </w:r>
      <w:r w:rsidRPr="006210C3">
        <w:rPr>
          <w:rStyle w:val="bold1"/>
          <w:rFonts w:asciiTheme="majorBidi" w:hAnsiTheme="majorBidi" w:cstheme="majorBidi"/>
          <w:i/>
          <w:iCs/>
          <w:rtl/>
        </w:rPr>
        <w:t xml:space="preserve"> </w:t>
      </w:r>
      <w:r w:rsidRPr="006210C3">
        <w:rPr>
          <w:rStyle w:val="bold1"/>
          <w:rFonts w:asciiTheme="majorBidi" w:hAnsiTheme="majorBidi" w:cstheme="majorBidi"/>
          <w:b w:val="0"/>
          <w:bCs w:val="0"/>
          <w:rtl/>
        </w:rPr>
        <w:t>287-339 (2)3</w:t>
      </w:r>
      <w:r w:rsidRPr="006210C3">
        <w:rPr>
          <w:rFonts w:asciiTheme="majorBidi" w:hAnsiTheme="majorBidi" w:cstheme="majorBidi"/>
          <w:b/>
          <w:bCs/>
          <w:color w:val="000000"/>
          <w:rtl/>
        </w:rPr>
        <w:t>.</w:t>
      </w:r>
    </w:p>
    <w:p w14:paraId="6DB1CA50" w14:textId="77777777" w:rsidR="008F0DFD" w:rsidRPr="006210C3" w:rsidRDefault="008F0DFD" w:rsidP="008F0DFD">
      <w:pPr>
        <w:pStyle w:val="EndnoteText"/>
        <w:rPr>
          <w:rFonts w:asciiTheme="majorBidi" w:hAnsiTheme="majorBidi" w:cstheme="majorBidi"/>
          <w:i/>
          <w:iCs/>
          <w:sz w:val="24"/>
          <w:szCs w:val="24"/>
          <w:rtl/>
        </w:rPr>
      </w:pPr>
    </w:p>
    <w:p w14:paraId="58AB517A" w14:textId="61D7499E" w:rsidR="00D25A8F" w:rsidRDefault="003D0E42" w:rsidP="008F0DFD">
      <w:pPr>
        <w:pStyle w:val="EndnoteText"/>
        <w:rPr>
          <w:rFonts w:asciiTheme="majorBidi" w:hAnsiTheme="majorBidi" w:cstheme="majorBidi"/>
          <w:sz w:val="24"/>
          <w:szCs w:val="24"/>
          <w:u w:val="single"/>
          <w:rtl/>
        </w:rPr>
      </w:pPr>
      <w:r>
        <w:rPr>
          <w:rFonts w:asciiTheme="majorBidi" w:hAnsiTheme="majorBidi" w:cstheme="majorBidi" w:hint="cs"/>
          <w:sz w:val="24"/>
          <w:szCs w:val="24"/>
          <w:u w:val="single"/>
          <w:rtl/>
        </w:rPr>
        <w:t xml:space="preserve">שבוע </w:t>
      </w:r>
      <w:r w:rsidR="00646B74">
        <w:rPr>
          <w:rFonts w:asciiTheme="majorBidi" w:hAnsiTheme="majorBidi" w:cstheme="majorBidi" w:hint="cs"/>
          <w:sz w:val="24"/>
          <w:szCs w:val="24"/>
          <w:u w:val="single"/>
          <w:rtl/>
        </w:rPr>
        <w:t>9</w:t>
      </w:r>
      <w:r>
        <w:rPr>
          <w:rFonts w:asciiTheme="majorBidi" w:hAnsiTheme="majorBidi" w:cstheme="majorBidi" w:hint="cs"/>
          <w:sz w:val="24"/>
          <w:szCs w:val="24"/>
          <w:u w:val="single"/>
          <w:rtl/>
        </w:rPr>
        <w:t>: מבט משווה (צרפת וטורקיה)</w:t>
      </w:r>
    </w:p>
    <w:p w14:paraId="3F619D3F" w14:textId="77777777" w:rsidR="003D0E42" w:rsidRDefault="003D0E42" w:rsidP="008F0DFD">
      <w:pPr>
        <w:pStyle w:val="EndnoteText"/>
        <w:rPr>
          <w:rFonts w:asciiTheme="majorBidi" w:hAnsiTheme="majorBidi" w:cstheme="majorBidi"/>
          <w:sz w:val="24"/>
          <w:szCs w:val="24"/>
          <w:u w:val="single"/>
          <w:rtl/>
        </w:rPr>
      </w:pPr>
    </w:p>
    <w:p w14:paraId="1EDA5141" w14:textId="77777777" w:rsidR="003D0E42" w:rsidRDefault="003D0E42" w:rsidP="003D0E42">
      <w:pPr>
        <w:autoSpaceDE w:val="0"/>
        <w:autoSpaceDN w:val="0"/>
        <w:adjustRightInd w:val="0"/>
        <w:jc w:val="right"/>
      </w:pPr>
      <w:r w:rsidRPr="00EC62B5">
        <w:t xml:space="preserve">Riva Kastoryano, “French Secularism and the Headscarf Affair”, Tariq Moodood et al, (eds.), </w:t>
      </w:r>
      <w:r w:rsidRPr="003D0E42">
        <w:rPr>
          <w:iCs/>
          <w:u w:val="single"/>
        </w:rPr>
        <w:t>Multiculturalism, Muslims and Citizenship: A European Approach</w:t>
      </w:r>
      <w:r w:rsidRPr="00EC62B5">
        <w:t>, Routledge, 2006,</w:t>
      </w:r>
      <w:r>
        <w:t xml:space="preserve"> pp. 57-69.</w:t>
      </w:r>
    </w:p>
    <w:p w14:paraId="386BFC83" w14:textId="77777777" w:rsidR="003D0E42" w:rsidRDefault="003D0E42" w:rsidP="003D0E42">
      <w:pPr>
        <w:bidi w:val="0"/>
        <w:spacing w:before="100" w:beforeAutospacing="1" w:after="100" w:afterAutospacing="1"/>
        <w:outlineLvl w:val="0"/>
        <w:rPr>
          <w:rFonts w:asciiTheme="majorBidi" w:hAnsiTheme="majorBidi" w:cstheme="majorBidi"/>
          <w:kern w:val="36"/>
        </w:rPr>
      </w:pPr>
      <w:r w:rsidRPr="003D0E42">
        <w:t xml:space="preserve">Tepe, Sultan. 2005. </w:t>
      </w:r>
      <w:r w:rsidRPr="003D0E42">
        <w:rPr>
          <w:rFonts w:asciiTheme="majorBidi" w:hAnsiTheme="majorBidi" w:cstheme="majorBidi"/>
          <w:kern w:val="36"/>
        </w:rPr>
        <w:t>“</w:t>
      </w:r>
      <w:r w:rsidRPr="00E71D2D">
        <w:rPr>
          <w:rFonts w:asciiTheme="majorBidi" w:hAnsiTheme="majorBidi" w:cstheme="majorBidi"/>
          <w:kern w:val="36"/>
        </w:rPr>
        <w:t>Religious parties and democracy: A comparative assessment of Israel and Turkey</w:t>
      </w:r>
      <w:r w:rsidRPr="003D0E42">
        <w:rPr>
          <w:rFonts w:asciiTheme="majorBidi" w:hAnsiTheme="majorBidi" w:cstheme="majorBidi"/>
          <w:kern w:val="36"/>
        </w:rPr>
        <w:t xml:space="preserve">” </w:t>
      </w:r>
      <w:r w:rsidRPr="003D0E42">
        <w:rPr>
          <w:rFonts w:asciiTheme="majorBidi" w:hAnsiTheme="majorBidi" w:cstheme="majorBidi"/>
          <w:kern w:val="36"/>
          <w:u w:val="single"/>
        </w:rPr>
        <w:t xml:space="preserve">Democratization </w:t>
      </w:r>
      <w:r w:rsidRPr="003D0E42">
        <w:rPr>
          <w:rFonts w:asciiTheme="majorBidi" w:hAnsiTheme="majorBidi" w:cstheme="majorBidi"/>
          <w:kern w:val="36"/>
        </w:rPr>
        <w:t>12(3): 283-307.</w:t>
      </w:r>
    </w:p>
    <w:p w14:paraId="559B148F" w14:textId="77777777" w:rsidR="00DD2E59" w:rsidRDefault="00DD2E59" w:rsidP="003D0E42">
      <w:pPr>
        <w:outlineLvl w:val="0"/>
        <w:rPr>
          <w:rFonts w:asciiTheme="majorBidi" w:hAnsiTheme="majorBidi" w:cstheme="majorBidi"/>
          <w:kern w:val="36"/>
          <w:u w:val="single"/>
          <w:rtl/>
        </w:rPr>
      </w:pPr>
    </w:p>
    <w:p w14:paraId="21C2F586" w14:textId="05883663" w:rsidR="003D0E42" w:rsidRDefault="003D0E42" w:rsidP="003D0E42">
      <w:pPr>
        <w:outlineLvl w:val="0"/>
        <w:rPr>
          <w:rFonts w:asciiTheme="majorBidi" w:hAnsiTheme="majorBidi" w:cstheme="majorBidi"/>
          <w:kern w:val="36"/>
          <w:u w:val="single"/>
          <w:rtl/>
        </w:rPr>
      </w:pPr>
      <w:r>
        <w:rPr>
          <w:rFonts w:asciiTheme="majorBidi" w:hAnsiTheme="majorBidi" w:cstheme="majorBidi" w:hint="cs"/>
          <w:kern w:val="36"/>
          <w:u w:val="single"/>
          <w:rtl/>
        </w:rPr>
        <w:t xml:space="preserve">שבוע </w:t>
      </w:r>
      <w:r w:rsidR="00646B74">
        <w:rPr>
          <w:rFonts w:asciiTheme="majorBidi" w:hAnsiTheme="majorBidi" w:cstheme="majorBidi" w:hint="cs"/>
          <w:kern w:val="36"/>
          <w:u w:val="single"/>
          <w:rtl/>
        </w:rPr>
        <w:t>10</w:t>
      </w:r>
      <w:r>
        <w:rPr>
          <w:rFonts w:asciiTheme="majorBidi" w:hAnsiTheme="majorBidi" w:cstheme="majorBidi" w:hint="cs"/>
          <w:kern w:val="36"/>
          <w:u w:val="single"/>
          <w:rtl/>
        </w:rPr>
        <w:t>: מדינה, דת והמרחב הפרטי</w:t>
      </w:r>
      <w:r w:rsidR="00565B80">
        <w:rPr>
          <w:rFonts w:asciiTheme="majorBidi" w:hAnsiTheme="majorBidi" w:cstheme="majorBidi" w:hint="cs"/>
          <w:kern w:val="36"/>
          <w:u w:val="single"/>
          <w:rtl/>
        </w:rPr>
        <w:t xml:space="preserve"> </w:t>
      </w:r>
      <w:r w:rsidR="00565B80">
        <w:rPr>
          <w:rFonts w:asciiTheme="majorBidi" w:hAnsiTheme="majorBidi" w:cstheme="majorBidi"/>
          <w:kern w:val="36"/>
          <w:u w:val="single"/>
          <w:rtl/>
        </w:rPr>
        <w:t>–</w:t>
      </w:r>
      <w:r w:rsidR="00565B80">
        <w:rPr>
          <w:rFonts w:asciiTheme="majorBidi" w:hAnsiTheme="majorBidi" w:cstheme="majorBidi" w:hint="cs"/>
          <w:kern w:val="36"/>
          <w:u w:val="single"/>
          <w:rtl/>
        </w:rPr>
        <w:t xml:space="preserve"> נישואין והפלות</w:t>
      </w:r>
    </w:p>
    <w:p w14:paraId="4F51D78B" w14:textId="77777777" w:rsidR="003D0E42" w:rsidRPr="00E71D2D" w:rsidRDefault="003D0E42" w:rsidP="003D0E42">
      <w:pPr>
        <w:outlineLvl w:val="0"/>
        <w:rPr>
          <w:rFonts w:asciiTheme="majorBidi" w:hAnsiTheme="majorBidi" w:cstheme="majorBidi"/>
          <w:kern w:val="36"/>
          <w:u w:val="single"/>
          <w:rtl/>
        </w:rPr>
      </w:pPr>
    </w:p>
    <w:p w14:paraId="11C6BC60" w14:textId="77777777" w:rsidR="003D0E42" w:rsidRPr="006210C3" w:rsidRDefault="003D0E42" w:rsidP="003D0E42">
      <w:pPr>
        <w:rPr>
          <w:rFonts w:asciiTheme="majorBidi" w:hAnsiTheme="majorBidi" w:cstheme="majorBidi"/>
          <w:rtl/>
        </w:rPr>
      </w:pPr>
      <w:r w:rsidRPr="006210C3">
        <w:rPr>
          <w:rFonts w:asciiTheme="majorBidi" w:hAnsiTheme="majorBidi" w:cstheme="majorBidi"/>
          <w:rtl/>
        </w:rPr>
        <w:t xml:space="preserve">שיפמן, פנחס. 1995. </w:t>
      </w:r>
      <w:r w:rsidRPr="006210C3">
        <w:rPr>
          <w:rFonts w:asciiTheme="majorBidi" w:hAnsiTheme="majorBidi" w:cstheme="majorBidi"/>
          <w:i/>
          <w:iCs/>
          <w:rtl/>
        </w:rPr>
        <w:t xml:space="preserve">מי מפחד מנישואין אזרחיים? </w:t>
      </w:r>
      <w:r w:rsidRPr="006210C3">
        <w:rPr>
          <w:rFonts w:asciiTheme="majorBidi" w:hAnsiTheme="majorBidi" w:cstheme="majorBidi"/>
          <w:rtl/>
        </w:rPr>
        <w:t>מכון ירושלים לחקר ישראל.</w:t>
      </w:r>
    </w:p>
    <w:p w14:paraId="1035704A" w14:textId="77777777" w:rsidR="003D0E42" w:rsidRDefault="003D0E42" w:rsidP="003D0E42">
      <w:pPr>
        <w:autoSpaceDE w:val="0"/>
        <w:autoSpaceDN w:val="0"/>
        <w:adjustRightInd w:val="0"/>
        <w:rPr>
          <w:rtl/>
        </w:rPr>
      </w:pPr>
    </w:p>
    <w:p w14:paraId="6D21904F" w14:textId="77777777" w:rsidR="003D0E42" w:rsidRDefault="003D0E42" w:rsidP="003D0E42">
      <w:pPr>
        <w:autoSpaceDE w:val="0"/>
        <w:autoSpaceDN w:val="0"/>
        <w:adjustRightInd w:val="0"/>
        <w:rPr>
          <w:rFonts w:asciiTheme="majorBidi" w:hAnsiTheme="majorBidi" w:cstheme="majorBidi"/>
          <w:rtl/>
        </w:rPr>
      </w:pPr>
      <w:r>
        <w:rPr>
          <w:rFonts w:asciiTheme="majorBidi" w:hAnsiTheme="majorBidi" w:cstheme="majorBidi" w:hint="cs"/>
          <w:rtl/>
        </w:rPr>
        <w:t xml:space="preserve">בן-פורת, גיא. 2016. </w:t>
      </w:r>
      <w:r>
        <w:rPr>
          <w:rFonts w:asciiTheme="majorBidi" w:hAnsiTheme="majorBidi" w:cstheme="majorBidi" w:hint="cs"/>
          <w:u w:val="single"/>
          <w:rtl/>
        </w:rPr>
        <w:t>הלכה למעשה: חילונו של המרחב הציבורי בישראל</w:t>
      </w:r>
      <w:r>
        <w:rPr>
          <w:rFonts w:asciiTheme="majorBidi" w:hAnsiTheme="majorBidi" w:cstheme="majorBidi" w:hint="cs"/>
          <w:rtl/>
        </w:rPr>
        <w:t>. תל-אביב: פרדס</w:t>
      </w:r>
    </w:p>
    <w:p w14:paraId="3BAA2734" w14:textId="77777777" w:rsidR="003D0E42" w:rsidRDefault="003D0E42" w:rsidP="003D0E42">
      <w:pPr>
        <w:autoSpaceDE w:val="0"/>
        <w:autoSpaceDN w:val="0"/>
        <w:adjustRightInd w:val="0"/>
        <w:rPr>
          <w:rFonts w:asciiTheme="majorBidi" w:hAnsiTheme="majorBidi" w:cstheme="majorBidi"/>
          <w:rtl/>
        </w:rPr>
      </w:pPr>
    </w:p>
    <w:p w14:paraId="09AEBD27" w14:textId="77777777" w:rsidR="00300F3C" w:rsidRDefault="00300F3C" w:rsidP="00300F3C">
      <w:pPr>
        <w:bidi w:val="0"/>
        <w:rPr>
          <w:rFonts w:asciiTheme="majorBidi" w:hAnsiTheme="majorBidi" w:cstheme="majorBidi"/>
        </w:rPr>
      </w:pPr>
      <w:r w:rsidRPr="0022605E">
        <w:rPr>
          <w:rFonts w:asciiTheme="majorBidi" w:hAnsiTheme="majorBidi" w:cstheme="majorBidi"/>
        </w:rPr>
        <w:t>Minkenberg</w:t>
      </w:r>
      <w:r>
        <w:rPr>
          <w:rFonts w:asciiTheme="majorBidi" w:hAnsiTheme="majorBidi" w:cstheme="majorBidi"/>
        </w:rPr>
        <w:t>,</w:t>
      </w:r>
      <w:r w:rsidRPr="0022605E">
        <w:rPr>
          <w:rFonts w:asciiTheme="majorBidi" w:hAnsiTheme="majorBidi" w:cstheme="majorBidi"/>
        </w:rPr>
        <w:t xml:space="preserve"> Michael (2003)</w:t>
      </w:r>
      <w:r>
        <w:rPr>
          <w:rFonts w:asciiTheme="majorBidi" w:hAnsiTheme="majorBidi" w:cstheme="majorBidi"/>
        </w:rPr>
        <w:t>.</w:t>
      </w:r>
      <w:r w:rsidRPr="0022605E">
        <w:rPr>
          <w:rFonts w:asciiTheme="majorBidi" w:hAnsiTheme="majorBidi" w:cstheme="majorBidi"/>
        </w:rPr>
        <w:t xml:space="preserve"> </w:t>
      </w:r>
      <w:r>
        <w:rPr>
          <w:rFonts w:asciiTheme="majorBidi" w:hAnsiTheme="majorBidi" w:cstheme="majorBidi"/>
        </w:rPr>
        <w:t>"</w:t>
      </w:r>
      <w:r w:rsidRPr="0022605E">
        <w:rPr>
          <w:rFonts w:asciiTheme="majorBidi" w:hAnsiTheme="majorBidi" w:cstheme="majorBidi"/>
        </w:rPr>
        <w:t>The policy impact of church–state relations:</w:t>
      </w:r>
      <w:r>
        <w:rPr>
          <w:rFonts w:asciiTheme="majorBidi" w:hAnsiTheme="majorBidi" w:cstheme="majorBidi"/>
        </w:rPr>
        <w:t xml:space="preserve"> </w:t>
      </w:r>
      <w:r w:rsidRPr="0022605E">
        <w:rPr>
          <w:rFonts w:asciiTheme="majorBidi" w:hAnsiTheme="majorBidi" w:cstheme="majorBidi"/>
        </w:rPr>
        <w:t>family policy and abortion in Britain, France, and Germany</w:t>
      </w:r>
      <w:r>
        <w:rPr>
          <w:rFonts w:asciiTheme="majorBidi" w:hAnsiTheme="majorBidi" w:cstheme="majorBidi"/>
        </w:rPr>
        <w:t>"</w:t>
      </w:r>
      <w:r w:rsidRPr="0022605E">
        <w:rPr>
          <w:rFonts w:asciiTheme="majorBidi" w:hAnsiTheme="majorBidi" w:cstheme="majorBidi"/>
        </w:rPr>
        <w:t xml:space="preserve">, </w:t>
      </w:r>
      <w:r w:rsidRPr="00300F3C">
        <w:rPr>
          <w:rFonts w:asciiTheme="majorBidi" w:hAnsiTheme="majorBidi" w:cstheme="majorBidi"/>
          <w:u w:val="single"/>
        </w:rPr>
        <w:t>West European Politics</w:t>
      </w:r>
      <w:r w:rsidRPr="0022605E">
        <w:rPr>
          <w:rFonts w:asciiTheme="majorBidi" w:hAnsiTheme="majorBidi" w:cstheme="majorBidi"/>
        </w:rPr>
        <w:t>, 26:1,</w:t>
      </w:r>
      <w:r>
        <w:rPr>
          <w:rFonts w:asciiTheme="majorBidi" w:hAnsiTheme="majorBidi" w:cstheme="majorBidi"/>
        </w:rPr>
        <w:t>195-217</w:t>
      </w:r>
    </w:p>
    <w:p w14:paraId="0F9B2AAE" w14:textId="77777777" w:rsidR="003D0E42" w:rsidRPr="00300F3C" w:rsidRDefault="003D0E42" w:rsidP="00300F3C">
      <w:pPr>
        <w:autoSpaceDE w:val="0"/>
        <w:autoSpaceDN w:val="0"/>
        <w:adjustRightInd w:val="0"/>
        <w:jc w:val="right"/>
        <w:rPr>
          <w:rFonts w:asciiTheme="majorBidi" w:hAnsiTheme="majorBidi" w:cstheme="majorBidi"/>
          <w:rtl/>
        </w:rPr>
      </w:pPr>
    </w:p>
    <w:p w14:paraId="4EC120D0" w14:textId="43E72E3B" w:rsidR="00300F3C" w:rsidRDefault="00D25A8F" w:rsidP="00300F3C">
      <w:pPr>
        <w:pStyle w:val="EndnoteText"/>
        <w:rPr>
          <w:rFonts w:asciiTheme="majorBidi" w:hAnsiTheme="majorBidi" w:cstheme="majorBidi"/>
          <w:sz w:val="24"/>
          <w:szCs w:val="24"/>
          <w:rtl/>
        </w:rPr>
      </w:pPr>
      <w:r w:rsidRPr="006210C3">
        <w:rPr>
          <w:rFonts w:asciiTheme="majorBidi" w:hAnsiTheme="majorBidi" w:cstheme="majorBidi"/>
          <w:sz w:val="24"/>
          <w:szCs w:val="24"/>
          <w:u w:val="single"/>
          <w:rtl/>
        </w:rPr>
        <w:t xml:space="preserve">שיעור </w:t>
      </w:r>
      <w:r w:rsidR="00300F3C">
        <w:rPr>
          <w:rFonts w:asciiTheme="majorBidi" w:hAnsiTheme="majorBidi" w:cstheme="majorBidi"/>
          <w:sz w:val="24"/>
          <w:szCs w:val="24"/>
          <w:u w:val="single"/>
        </w:rPr>
        <w:t>1</w:t>
      </w:r>
      <w:r w:rsidR="00646B74">
        <w:rPr>
          <w:rFonts w:asciiTheme="majorBidi" w:hAnsiTheme="majorBidi" w:cstheme="majorBidi" w:hint="cs"/>
          <w:sz w:val="24"/>
          <w:szCs w:val="24"/>
          <w:u w:val="single"/>
          <w:rtl/>
        </w:rPr>
        <w:t>1</w:t>
      </w:r>
      <w:r w:rsidR="001F751F" w:rsidRPr="00300F3C">
        <w:rPr>
          <w:rFonts w:asciiTheme="majorBidi" w:hAnsiTheme="majorBidi" w:cstheme="majorBidi"/>
          <w:sz w:val="24"/>
          <w:szCs w:val="24"/>
          <w:u w:val="single"/>
          <w:rtl/>
        </w:rPr>
        <w:t xml:space="preserve">: </w:t>
      </w:r>
      <w:r w:rsidR="00300F3C" w:rsidRPr="00300F3C">
        <w:rPr>
          <w:rFonts w:asciiTheme="majorBidi" w:hAnsiTheme="majorBidi" w:cstheme="majorBidi" w:hint="cs"/>
          <w:sz w:val="24"/>
          <w:szCs w:val="24"/>
          <w:u w:val="single"/>
          <w:rtl/>
        </w:rPr>
        <w:t>התבדלות ושילוב</w:t>
      </w:r>
      <w:r w:rsidR="00565B80">
        <w:rPr>
          <w:rFonts w:asciiTheme="majorBidi" w:hAnsiTheme="majorBidi" w:cstheme="majorBidi" w:hint="cs"/>
          <w:sz w:val="24"/>
          <w:szCs w:val="24"/>
          <w:u w:val="single"/>
          <w:rtl/>
        </w:rPr>
        <w:t xml:space="preserve"> </w:t>
      </w:r>
      <w:r w:rsidR="00565B80">
        <w:rPr>
          <w:rFonts w:asciiTheme="majorBidi" w:hAnsiTheme="majorBidi" w:cstheme="majorBidi"/>
          <w:sz w:val="24"/>
          <w:szCs w:val="24"/>
          <w:u w:val="single"/>
          <w:rtl/>
        </w:rPr>
        <w:t>–</w:t>
      </w:r>
      <w:r w:rsidR="00565B80">
        <w:rPr>
          <w:rFonts w:asciiTheme="majorBidi" w:hAnsiTheme="majorBidi" w:cstheme="majorBidi" w:hint="cs"/>
          <w:sz w:val="24"/>
          <w:szCs w:val="24"/>
          <w:u w:val="single"/>
          <w:rtl/>
        </w:rPr>
        <w:t xml:space="preserve"> חינוך ותכניות הליבה</w:t>
      </w:r>
    </w:p>
    <w:p w14:paraId="6214AFF7" w14:textId="77777777" w:rsidR="00300F3C" w:rsidRDefault="00300F3C" w:rsidP="00300F3C">
      <w:pPr>
        <w:pStyle w:val="EndnoteText"/>
        <w:rPr>
          <w:rFonts w:asciiTheme="majorBidi" w:hAnsiTheme="majorBidi" w:cstheme="majorBidi"/>
          <w:sz w:val="24"/>
          <w:szCs w:val="24"/>
          <w:rtl/>
        </w:rPr>
      </w:pPr>
    </w:p>
    <w:p w14:paraId="4EAF7FDB" w14:textId="3FD376AF" w:rsidR="00E5129F" w:rsidRDefault="00846DBB" w:rsidP="003D0E42">
      <w:pPr>
        <w:pStyle w:val="EndnoteText"/>
        <w:rPr>
          <w:rFonts w:asciiTheme="majorBidi" w:hAnsiTheme="majorBidi" w:cstheme="majorBidi"/>
          <w:sz w:val="24"/>
          <w:szCs w:val="24"/>
          <w:rtl/>
        </w:rPr>
      </w:pPr>
      <w:r w:rsidRPr="006210C3">
        <w:rPr>
          <w:rFonts w:asciiTheme="majorBidi" w:hAnsiTheme="majorBidi" w:cstheme="majorBidi"/>
          <w:sz w:val="24"/>
          <w:szCs w:val="24"/>
          <w:rtl/>
        </w:rPr>
        <w:t xml:space="preserve">משה אליה. 1998. "דמוקרטיה מתגוננת: חינוך לערכים דמוקרטיים בבתי ספר חרדים" </w:t>
      </w:r>
      <w:r w:rsidRPr="00300F3C">
        <w:rPr>
          <w:rFonts w:asciiTheme="majorBidi" w:hAnsiTheme="majorBidi" w:cstheme="majorBidi"/>
          <w:sz w:val="24"/>
          <w:szCs w:val="24"/>
          <w:u w:val="single"/>
          <w:rtl/>
        </w:rPr>
        <w:t>משפט וממשל</w:t>
      </w:r>
      <w:r w:rsidR="00F97EB9" w:rsidRPr="006210C3">
        <w:rPr>
          <w:rFonts w:asciiTheme="majorBidi" w:hAnsiTheme="majorBidi" w:cstheme="majorBidi"/>
          <w:sz w:val="24"/>
          <w:szCs w:val="24"/>
          <w:rtl/>
        </w:rPr>
        <w:t xml:space="preserve"> י"א: 367-428.</w:t>
      </w:r>
    </w:p>
    <w:p w14:paraId="2E7CFCBB" w14:textId="0BF84DA8" w:rsidR="00DD2E59" w:rsidRDefault="00DD2E59" w:rsidP="003D0E42">
      <w:pPr>
        <w:pStyle w:val="EndnoteText"/>
        <w:rPr>
          <w:rFonts w:asciiTheme="majorBidi" w:hAnsiTheme="majorBidi" w:cstheme="majorBidi"/>
          <w:sz w:val="24"/>
          <w:szCs w:val="24"/>
          <w:rtl/>
        </w:rPr>
      </w:pPr>
    </w:p>
    <w:p w14:paraId="3F9A114A" w14:textId="77777777" w:rsidR="00DD2E59" w:rsidRPr="006210C3" w:rsidRDefault="00DD2E59" w:rsidP="00DD2E59">
      <w:pPr>
        <w:pStyle w:val="EndnoteText"/>
        <w:rPr>
          <w:rFonts w:asciiTheme="majorBidi" w:hAnsiTheme="majorBidi" w:cstheme="majorBidi"/>
          <w:sz w:val="24"/>
          <w:szCs w:val="24"/>
          <w:rtl/>
        </w:rPr>
      </w:pPr>
      <w:r w:rsidRPr="006210C3">
        <w:rPr>
          <w:rFonts w:asciiTheme="majorBidi" w:hAnsiTheme="majorBidi" w:cstheme="majorBidi"/>
          <w:sz w:val="24"/>
          <w:szCs w:val="24"/>
          <w:rtl/>
        </w:rPr>
        <w:t>ברמן</w:t>
      </w:r>
      <w:r>
        <w:rPr>
          <w:rFonts w:asciiTheme="majorBidi" w:hAnsiTheme="majorBidi" w:cstheme="majorBidi" w:hint="cs"/>
          <w:sz w:val="24"/>
          <w:szCs w:val="24"/>
          <w:rtl/>
        </w:rPr>
        <w:t>, אלי. 2000</w:t>
      </w:r>
      <w:r w:rsidRPr="006210C3">
        <w:rPr>
          <w:rFonts w:asciiTheme="majorBidi" w:hAnsiTheme="majorBidi" w:cstheme="majorBidi"/>
          <w:sz w:val="24"/>
          <w:szCs w:val="24"/>
          <w:rtl/>
        </w:rPr>
        <w:t xml:space="preserve"> "קורבן מסובסד: תמיכת המדינה בדת בישראל" </w:t>
      </w:r>
      <w:r w:rsidRPr="005248A5">
        <w:rPr>
          <w:rFonts w:asciiTheme="majorBidi" w:hAnsiTheme="majorBidi" w:cstheme="majorBidi"/>
          <w:sz w:val="24"/>
          <w:szCs w:val="24"/>
          <w:u w:val="single"/>
          <w:rtl/>
        </w:rPr>
        <w:t>רבעון לכלכלה</w:t>
      </w:r>
      <w:r>
        <w:rPr>
          <w:rFonts w:asciiTheme="majorBidi" w:hAnsiTheme="majorBidi" w:cstheme="majorBidi" w:hint="cs"/>
          <w:sz w:val="24"/>
          <w:szCs w:val="24"/>
          <w:rtl/>
        </w:rPr>
        <w:t xml:space="preserve"> 47, 195-212</w:t>
      </w:r>
    </w:p>
    <w:p w14:paraId="149614F5" w14:textId="77777777" w:rsidR="00DD2E59" w:rsidRDefault="00DD2E59" w:rsidP="00DD2E59">
      <w:pPr>
        <w:rPr>
          <w:rFonts w:asciiTheme="majorBidi" w:hAnsiTheme="majorBidi" w:cstheme="majorBidi"/>
          <w:rtl/>
        </w:rPr>
      </w:pPr>
    </w:p>
    <w:p w14:paraId="3DC8C854" w14:textId="77777777" w:rsidR="00F97EB9" w:rsidRPr="006210C3" w:rsidRDefault="00F97EB9" w:rsidP="003D0E42">
      <w:pPr>
        <w:pStyle w:val="EndnoteText"/>
        <w:rPr>
          <w:rFonts w:asciiTheme="majorBidi" w:hAnsiTheme="majorBidi" w:cstheme="majorBidi"/>
          <w:sz w:val="24"/>
          <w:szCs w:val="24"/>
          <w:rtl/>
        </w:rPr>
      </w:pPr>
    </w:p>
    <w:p w14:paraId="5ABA1B33" w14:textId="77777777" w:rsidR="00300F3C" w:rsidRDefault="00300F3C" w:rsidP="00300F3C">
      <w:pPr>
        <w:bidi w:val="0"/>
        <w:ind w:hanging="720"/>
      </w:pPr>
      <w:r>
        <w:tab/>
        <w:t xml:space="preserve">Barry, </w:t>
      </w:r>
      <w:r w:rsidRPr="00D76C69">
        <w:t>Brian</w:t>
      </w:r>
      <w:r>
        <w:t xml:space="preserve">. </w:t>
      </w:r>
      <w:r w:rsidRPr="00D76C69">
        <w:t xml:space="preserve">1990. </w:t>
      </w:r>
      <w:r>
        <w:t>“</w:t>
      </w:r>
      <w:r w:rsidRPr="00D76C69">
        <w:t>How Not to Defend Liberal Institutions.</w:t>
      </w:r>
      <w:r>
        <w:t>”</w:t>
      </w:r>
      <w:r w:rsidRPr="00D76C69">
        <w:t xml:space="preserve"> </w:t>
      </w:r>
      <w:r w:rsidRPr="00300F3C">
        <w:rPr>
          <w:u w:val="single"/>
        </w:rPr>
        <w:t>British Journal of Political Science</w:t>
      </w:r>
      <w:r>
        <w:t xml:space="preserve">, </w:t>
      </w:r>
      <w:r w:rsidRPr="00263FCC">
        <w:t>20</w:t>
      </w:r>
      <w:r>
        <w:t>(1):1-14.</w:t>
      </w:r>
    </w:p>
    <w:p w14:paraId="30B267D1" w14:textId="77777777" w:rsidR="00E5129F" w:rsidRPr="00300F3C" w:rsidRDefault="00E5129F" w:rsidP="00300F3C">
      <w:pPr>
        <w:jc w:val="right"/>
        <w:rPr>
          <w:rFonts w:asciiTheme="majorBidi" w:hAnsiTheme="majorBidi" w:cstheme="majorBidi"/>
          <w:rtl/>
        </w:rPr>
      </w:pPr>
    </w:p>
    <w:p w14:paraId="7D1F9406" w14:textId="4D10660A" w:rsidR="00646B74" w:rsidRDefault="00646B74" w:rsidP="00300F3C">
      <w:pPr>
        <w:rPr>
          <w:rFonts w:asciiTheme="majorBidi" w:hAnsiTheme="majorBidi" w:cstheme="majorBidi"/>
          <w:rtl/>
        </w:rPr>
      </w:pPr>
      <w:r>
        <w:rPr>
          <w:rFonts w:asciiTheme="majorBidi" w:hAnsiTheme="majorBidi" w:cstheme="majorBidi" w:hint="cs"/>
          <w:u w:val="single"/>
          <w:rtl/>
        </w:rPr>
        <w:t>שיעור 12: הצבא כזירת מאבק</w:t>
      </w:r>
    </w:p>
    <w:p w14:paraId="09277018" w14:textId="4903EFC2" w:rsidR="00646B74" w:rsidRDefault="00646B74" w:rsidP="00300F3C">
      <w:pPr>
        <w:rPr>
          <w:rFonts w:asciiTheme="majorBidi" w:hAnsiTheme="majorBidi" w:cstheme="majorBidi"/>
          <w:rtl/>
        </w:rPr>
      </w:pPr>
    </w:p>
    <w:p w14:paraId="3711B14E" w14:textId="0CBF65FC" w:rsidR="00646B74" w:rsidRDefault="00646B74" w:rsidP="00300F3C">
      <w:pPr>
        <w:rPr>
          <w:rFonts w:asciiTheme="majorBidi" w:hAnsiTheme="majorBidi" w:cstheme="majorBidi"/>
          <w:rtl/>
        </w:rPr>
      </w:pPr>
      <w:r>
        <w:rPr>
          <w:rFonts w:asciiTheme="majorBidi" w:hAnsiTheme="majorBidi" w:cstheme="majorBidi" w:hint="cs"/>
          <w:rtl/>
        </w:rPr>
        <w:t xml:space="preserve">לוי, יגיל. 2015. </w:t>
      </w:r>
      <w:r>
        <w:rPr>
          <w:rFonts w:asciiTheme="majorBidi" w:hAnsiTheme="majorBidi" w:cstheme="majorBidi" w:hint="cs"/>
          <w:u w:val="single"/>
          <w:rtl/>
        </w:rPr>
        <w:t>המפקד האליון</w:t>
      </w:r>
      <w:r>
        <w:rPr>
          <w:rFonts w:asciiTheme="majorBidi" w:hAnsiTheme="majorBidi" w:cstheme="majorBidi" w:hint="cs"/>
          <w:rtl/>
        </w:rPr>
        <w:t xml:space="preserve"> תל-אביב: ידיעות אחרונות</w:t>
      </w:r>
    </w:p>
    <w:p w14:paraId="25B83549" w14:textId="77777777" w:rsidR="00646B74" w:rsidRPr="00646B74" w:rsidRDefault="00646B74" w:rsidP="00300F3C">
      <w:pPr>
        <w:rPr>
          <w:rFonts w:asciiTheme="majorBidi" w:hAnsiTheme="majorBidi" w:cstheme="majorBidi"/>
          <w:rtl/>
        </w:rPr>
      </w:pPr>
    </w:p>
    <w:p w14:paraId="251BB98F" w14:textId="77777777" w:rsidR="00DD2E59" w:rsidRDefault="00DD2E59" w:rsidP="00300F3C">
      <w:pPr>
        <w:rPr>
          <w:rFonts w:asciiTheme="majorBidi" w:hAnsiTheme="majorBidi" w:cstheme="majorBidi"/>
          <w:u w:val="single"/>
          <w:rtl/>
        </w:rPr>
      </w:pPr>
    </w:p>
    <w:p w14:paraId="29B0FA8A" w14:textId="77777777" w:rsidR="00DD2E59" w:rsidRDefault="00DD2E59" w:rsidP="00300F3C">
      <w:pPr>
        <w:rPr>
          <w:rFonts w:asciiTheme="majorBidi" w:hAnsiTheme="majorBidi" w:cstheme="majorBidi"/>
          <w:u w:val="single"/>
          <w:rtl/>
        </w:rPr>
      </w:pPr>
    </w:p>
    <w:p w14:paraId="4745932B" w14:textId="33AA5CA5" w:rsidR="00E5129F" w:rsidRPr="00646B74" w:rsidRDefault="00E5129F" w:rsidP="00300F3C">
      <w:pPr>
        <w:rPr>
          <w:rFonts w:asciiTheme="majorBidi" w:hAnsiTheme="majorBidi" w:cstheme="majorBidi"/>
          <w:i/>
          <w:iCs/>
          <w:u w:val="single"/>
          <w:rtl/>
        </w:rPr>
      </w:pPr>
      <w:r w:rsidRPr="00646B74">
        <w:rPr>
          <w:rFonts w:asciiTheme="majorBidi" w:hAnsiTheme="majorBidi" w:cstheme="majorBidi"/>
          <w:u w:val="single"/>
          <w:rtl/>
        </w:rPr>
        <w:t xml:space="preserve">שיעור </w:t>
      </w:r>
      <w:r w:rsidR="00646B74" w:rsidRPr="00646B74">
        <w:rPr>
          <w:rFonts w:asciiTheme="majorBidi" w:hAnsiTheme="majorBidi" w:cstheme="majorBidi" w:hint="cs"/>
          <w:u w:val="single"/>
          <w:rtl/>
        </w:rPr>
        <w:t>13</w:t>
      </w:r>
      <w:r w:rsidR="001F751F" w:rsidRPr="00646B74">
        <w:rPr>
          <w:rFonts w:asciiTheme="majorBidi" w:hAnsiTheme="majorBidi" w:cstheme="majorBidi"/>
          <w:u w:val="single"/>
          <w:rtl/>
        </w:rPr>
        <w:t xml:space="preserve">: </w:t>
      </w:r>
      <w:r w:rsidRPr="00646B74">
        <w:rPr>
          <w:rFonts w:asciiTheme="majorBidi" w:hAnsiTheme="majorBidi" w:cstheme="majorBidi"/>
          <w:i/>
          <w:iCs/>
          <w:u w:val="single"/>
          <w:rtl/>
        </w:rPr>
        <w:t>המרחב הציבורי</w:t>
      </w:r>
      <w:r w:rsidR="00565B80" w:rsidRPr="00646B74">
        <w:rPr>
          <w:rFonts w:asciiTheme="majorBidi" w:hAnsiTheme="majorBidi" w:cstheme="majorBidi" w:hint="cs"/>
          <w:i/>
          <w:iCs/>
          <w:u w:val="single"/>
          <w:rtl/>
        </w:rPr>
        <w:t>: השבת והכשרות</w:t>
      </w:r>
      <w:r w:rsidRPr="00646B74">
        <w:rPr>
          <w:rFonts w:asciiTheme="majorBidi" w:hAnsiTheme="majorBidi" w:cstheme="majorBidi"/>
          <w:i/>
          <w:iCs/>
          <w:u w:val="single"/>
          <w:rtl/>
        </w:rPr>
        <w:t xml:space="preserve"> </w:t>
      </w:r>
    </w:p>
    <w:p w14:paraId="532BB515" w14:textId="77777777" w:rsidR="00942172" w:rsidRPr="006210C3" w:rsidRDefault="00942172" w:rsidP="00E5129F">
      <w:pPr>
        <w:rPr>
          <w:rFonts w:asciiTheme="majorBidi" w:hAnsiTheme="majorBidi" w:cstheme="majorBidi"/>
          <w:rtl/>
        </w:rPr>
      </w:pPr>
    </w:p>
    <w:p w14:paraId="4ECEC603" w14:textId="77777777" w:rsidR="00942172" w:rsidRPr="006210C3" w:rsidRDefault="00942172" w:rsidP="00942172">
      <w:pPr>
        <w:rPr>
          <w:rFonts w:asciiTheme="majorBidi" w:hAnsiTheme="majorBidi" w:cstheme="majorBidi"/>
          <w:rtl/>
        </w:rPr>
      </w:pPr>
      <w:r w:rsidRPr="006210C3">
        <w:rPr>
          <w:rFonts w:asciiTheme="majorBidi" w:hAnsiTheme="majorBidi" w:cstheme="majorBidi"/>
          <w:rtl/>
        </w:rPr>
        <w:t xml:space="preserve">לוי, שלומית. 2004. השבת הפרטית והשבת הציבורית בישראל. בתוך </w:t>
      </w:r>
      <w:r w:rsidRPr="006210C3">
        <w:rPr>
          <w:rFonts w:asciiTheme="majorBidi" w:hAnsiTheme="majorBidi" w:cstheme="majorBidi"/>
          <w:i/>
          <w:iCs/>
          <w:rtl/>
        </w:rPr>
        <w:t>שבת – רעיון, היסטוריה, מציאות</w:t>
      </w:r>
      <w:r w:rsidRPr="006210C3">
        <w:rPr>
          <w:rFonts w:asciiTheme="majorBidi" w:hAnsiTheme="majorBidi" w:cstheme="majorBidi"/>
          <w:rtl/>
        </w:rPr>
        <w:t>, ער'. יעקב בלידשטיין. באר שבע: הוצאת בן-גוריון.</w:t>
      </w:r>
    </w:p>
    <w:p w14:paraId="6D8F43B1" w14:textId="77777777" w:rsidR="00942172" w:rsidRPr="006210C3" w:rsidRDefault="00942172" w:rsidP="00942172">
      <w:pPr>
        <w:rPr>
          <w:rFonts w:asciiTheme="majorBidi" w:hAnsiTheme="majorBidi" w:cstheme="majorBidi"/>
          <w:rtl/>
        </w:rPr>
      </w:pPr>
    </w:p>
    <w:p w14:paraId="2C24DF01" w14:textId="77777777" w:rsidR="00942172" w:rsidRPr="006210C3" w:rsidRDefault="00942172" w:rsidP="00942172">
      <w:pPr>
        <w:rPr>
          <w:rFonts w:asciiTheme="majorBidi" w:hAnsiTheme="majorBidi" w:cstheme="majorBidi"/>
          <w:i/>
          <w:iCs/>
          <w:rtl/>
        </w:rPr>
      </w:pPr>
      <w:r w:rsidRPr="006210C3">
        <w:rPr>
          <w:rFonts w:asciiTheme="majorBidi" w:hAnsiTheme="majorBidi" w:cstheme="majorBidi"/>
          <w:rtl/>
        </w:rPr>
        <w:t xml:space="preserve">ברק ארז, דפנה. 2003. גלגולו של חזיר: מסמל לאומי לאינטרס דתי?. </w:t>
      </w:r>
      <w:r w:rsidRPr="006210C3">
        <w:rPr>
          <w:rFonts w:asciiTheme="majorBidi" w:hAnsiTheme="majorBidi" w:cstheme="majorBidi"/>
          <w:i/>
          <w:iCs/>
          <w:rtl/>
        </w:rPr>
        <w:t>משפטים,</w:t>
      </w:r>
      <w:r w:rsidRPr="006210C3">
        <w:rPr>
          <w:rFonts w:asciiTheme="majorBidi" w:hAnsiTheme="majorBidi" w:cstheme="majorBidi"/>
          <w:rtl/>
        </w:rPr>
        <w:t xml:space="preserve"> לג: 403 – 475.</w:t>
      </w:r>
    </w:p>
    <w:p w14:paraId="1D8BED07" w14:textId="77777777" w:rsidR="00942172" w:rsidRPr="006210C3" w:rsidRDefault="00942172" w:rsidP="00942172">
      <w:pPr>
        <w:rPr>
          <w:rFonts w:asciiTheme="majorBidi" w:hAnsiTheme="majorBidi" w:cstheme="majorBidi"/>
          <w:i/>
          <w:iCs/>
          <w:rtl/>
        </w:rPr>
      </w:pPr>
    </w:p>
    <w:p w14:paraId="1C10D9D8" w14:textId="77777777" w:rsidR="00AE0D2E" w:rsidRPr="006210C3" w:rsidRDefault="001A2698" w:rsidP="001A2698">
      <w:pPr>
        <w:rPr>
          <w:rFonts w:asciiTheme="majorBidi" w:hAnsiTheme="majorBidi" w:cstheme="majorBidi"/>
          <w:rtl/>
        </w:rPr>
      </w:pPr>
      <w:r w:rsidRPr="006210C3">
        <w:rPr>
          <w:rFonts w:asciiTheme="majorBidi" w:hAnsiTheme="majorBidi" w:cstheme="majorBidi"/>
          <w:rtl/>
        </w:rPr>
        <w:t>אורי דרומי (עורך). 2006</w:t>
      </w:r>
      <w:r w:rsidRPr="006210C3">
        <w:rPr>
          <w:rFonts w:asciiTheme="majorBidi" w:hAnsiTheme="majorBidi" w:cstheme="majorBidi"/>
          <w:i/>
          <w:iCs/>
          <w:rtl/>
        </w:rPr>
        <w:t xml:space="preserve">. </w:t>
      </w:r>
      <w:r w:rsidR="00AE0D2E" w:rsidRPr="006210C3">
        <w:rPr>
          <w:rFonts w:asciiTheme="majorBidi" w:hAnsiTheme="majorBidi" w:cstheme="majorBidi"/>
          <w:i/>
          <w:iCs/>
          <w:rtl/>
        </w:rPr>
        <w:t>יחסי חילונים-דתיים: עמדות, הצעות, אמנות</w:t>
      </w:r>
      <w:r w:rsidR="00AE0D2E" w:rsidRPr="006210C3">
        <w:rPr>
          <w:rFonts w:asciiTheme="majorBidi" w:hAnsiTheme="majorBidi" w:cstheme="majorBidi"/>
          <w:rtl/>
        </w:rPr>
        <w:t>, ירושלים: המכון הישראלי לדמוקרטיה</w:t>
      </w:r>
    </w:p>
    <w:p w14:paraId="4D820511" w14:textId="77777777" w:rsidR="001A2698" w:rsidRPr="006210C3" w:rsidRDefault="001A2698" w:rsidP="00AE0D2E">
      <w:pPr>
        <w:rPr>
          <w:rFonts w:asciiTheme="majorBidi" w:hAnsiTheme="majorBidi" w:cstheme="majorBidi"/>
          <w:rtl/>
        </w:rPr>
      </w:pPr>
    </w:p>
    <w:p w14:paraId="10092F9A" w14:textId="77777777" w:rsidR="00942172" w:rsidRPr="006210C3" w:rsidRDefault="00942172" w:rsidP="00E5129F">
      <w:pPr>
        <w:rPr>
          <w:rFonts w:asciiTheme="majorBidi" w:hAnsiTheme="majorBidi" w:cstheme="majorBidi"/>
          <w:rtl/>
        </w:rPr>
      </w:pPr>
    </w:p>
    <w:p w14:paraId="4B73D2EE" w14:textId="77777777" w:rsidR="00432542" w:rsidRPr="006210C3" w:rsidRDefault="00432542" w:rsidP="00432542">
      <w:pPr>
        <w:pStyle w:val="EndnoteText"/>
        <w:rPr>
          <w:rFonts w:asciiTheme="majorBidi" w:hAnsiTheme="majorBidi" w:cstheme="majorBidi"/>
          <w:sz w:val="24"/>
          <w:szCs w:val="24"/>
          <w:rtl/>
        </w:rPr>
      </w:pPr>
    </w:p>
    <w:p w14:paraId="356FBFD7" w14:textId="77777777" w:rsidR="00D25A8F" w:rsidRPr="006210C3" w:rsidRDefault="00D25A8F" w:rsidP="008F0DFD">
      <w:pPr>
        <w:pStyle w:val="EndnoteText"/>
        <w:rPr>
          <w:rFonts w:asciiTheme="majorBidi" w:hAnsiTheme="majorBidi" w:cstheme="majorBidi"/>
          <w:sz w:val="24"/>
          <w:szCs w:val="24"/>
          <w:rtl/>
        </w:rPr>
      </w:pPr>
    </w:p>
    <w:p w14:paraId="1B1F6A9B" w14:textId="77777777" w:rsidR="00D25A8F" w:rsidRPr="006210C3" w:rsidRDefault="00D25A8F" w:rsidP="008F0DFD">
      <w:pPr>
        <w:pStyle w:val="EndnoteText"/>
        <w:rPr>
          <w:rFonts w:asciiTheme="majorBidi" w:hAnsiTheme="majorBidi" w:cstheme="majorBidi"/>
          <w:sz w:val="24"/>
          <w:szCs w:val="24"/>
          <w:rtl/>
        </w:rPr>
      </w:pPr>
    </w:p>
    <w:p w14:paraId="1F498B6F" w14:textId="77777777" w:rsidR="00D25A8F" w:rsidRPr="006210C3" w:rsidRDefault="00D25A8F" w:rsidP="008F0DFD">
      <w:pPr>
        <w:pStyle w:val="EndnoteText"/>
        <w:rPr>
          <w:rFonts w:asciiTheme="majorBidi" w:hAnsiTheme="majorBidi" w:cstheme="majorBidi"/>
          <w:sz w:val="24"/>
          <w:szCs w:val="24"/>
          <w:u w:val="single"/>
          <w:rtl/>
        </w:rPr>
      </w:pPr>
    </w:p>
    <w:p w14:paraId="6376F3F8" w14:textId="77777777" w:rsidR="002756BA" w:rsidRPr="006210C3" w:rsidRDefault="002756BA" w:rsidP="002756BA">
      <w:pPr>
        <w:pStyle w:val="EndnoteText1"/>
        <w:spacing w:line="240" w:lineRule="auto"/>
        <w:rPr>
          <w:rFonts w:asciiTheme="majorBidi" w:hAnsiTheme="majorBidi" w:cstheme="majorBidi"/>
        </w:rPr>
      </w:pPr>
    </w:p>
    <w:p w14:paraId="657A5858" w14:textId="77777777" w:rsidR="00526C69" w:rsidRPr="006210C3" w:rsidRDefault="00526C69" w:rsidP="00526C69">
      <w:pPr>
        <w:bidi w:val="0"/>
        <w:spacing w:line="360" w:lineRule="auto"/>
        <w:rPr>
          <w:rFonts w:asciiTheme="majorBidi" w:hAnsiTheme="majorBidi" w:cstheme="majorBidi"/>
        </w:rPr>
      </w:pPr>
    </w:p>
    <w:p w14:paraId="219C0D59" w14:textId="77777777" w:rsidR="00526C69" w:rsidRPr="006210C3" w:rsidRDefault="00526C69" w:rsidP="00130F21">
      <w:pPr>
        <w:spacing w:line="360" w:lineRule="auto"/>
        <w:rPr>
          <w:rFonts w:asciiTheme="majorBidi" w:hAnsiTheme="majorBidi" w:cstheme="majorBidi"/>
          <w:rtl/>
        </w:rPr>
      </w:pPr>
    </w:p>
    <w:p w14:paraId="7AB8DFF4" w14:textId="77777777" w:rsidR="00317399" w:rsidRPr="006210C3" w:rsidRDefault="00317399" w:rsidP="00F7303E">
      <w:pPr>
        <w:bidi w:val="0"/>
        <w:rPr>
          <w:rFonts w:asciiTheme="majorBidi" w:hAnsiTheme="majorBidi" w:cstheme="majorBidi"/>
          <w:u w:val="single"/>
        </w:rPr>
      </w:pPr>
    </w:p>
    <w:sectPr w:rsidR="00317399" w:rsidRPr="006210C3" w:rsidSect="009E02E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4CDBB" w14:textId="77777777" w:rsidR="001A794C" w:rsidRDefault="001A794C" w:rsidP="00D45727">
      <w:r>
        <w:separator/>
      </w:r>
    </w:p>
  </w:endnote>
  <w:endnote w:type="continuationSeparator" w:id="0">
    <w:p w14:paraId="38716B42" w14:textId="77777777" w:rsidR="001A794C" w:rsidRDefault="001A794C" w:rsidP="00D4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Transparent">
    <w:altName w:val="Arial"/>
    <w:panose1 w:val="020E05020604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8100E" w14:textId="77777777" w:rsidR="001A794C" w:rsidRDefault="001A794C" w:rsidP="00D45727">
      <w:r>
        <w:separator/>
      </w:r>
    </w:p>
  </w:footnote>
  <w:footnote w:type="continuationSeparator" w:id="0">
    <w:p w14:paraId="3D89670C" w14:textId="77777777" w:rsidR="001A794C" w:rsidRDefault="001A794C" w:rsidP="00D45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3A9"/>
    <w:multiLevelType w:val="hybridMultilevel"/>
    <w:tmpl w:val="72662226"/>
    <w:lvl w:ilvl="0" w:tplc="70A84B4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079B"/>
    <w:multiLevelType w:val="hybridMultilevel"/>
    <w:tmpl w:val="6878580C"/>
    <w:lvl w:ilvl="0" w:tplc="4C76D03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3C984453"/>
    <w:multiLevelType w:val="hybridMultilevel"/>
    <w:tmpl w:val="9EF6F3E4"/>
    <w:lvl w:ilvl="0" w:tplc="6F38597E">
      <w:start w:val="1"/>
      <w:numFmt w:val="bullet"/>
      <w:lvlText w:val="-"/>
      <w:lvlJc w:val="left"/>
      <w:pPr>
        <w:tabs>
          <w:tab w:val="num" w:pos="720"/>
        </w:tabs>
        <w:ind w:left="720" w:right="720" w:hanging="360"/>
      </w:pPr>
      <w:rPr>
        <w:rFonts w:ascii="Times New Roman" w:eastAsia="Times New Roman" w:hAnsi="Times New Roman" w:cs="Miriam"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CF"/>
    <w:rsid w:val="00015432"/>
    <w:rsid w:val="00021A3E"/>
    <w:rsid w:val="00022580"/>
    <w:rsid w:val="000373BB"/>
    <w:rsid w:val="00042D6B"/>
    <w:rsid w:val="00130F21"/>
    <w:rsid w:val="001379BF"/>
    <w:rsid w:val="00171DC5"/>
    <w:rsid w:val="00181EAE"/>
    <w:rsid w:val="001A2698"/>
    <w:rsid w:val="001A794C"/>
    <w:rsid w:val="001F0867"/>
    <w:rsid w:val="001F751F"/>
    <w:rsid w:val="00255888"/>
    <w:rsid w:val="00266245"/>
    <w:rsid w:val="002756BA"/>
    <w:rsid w:val="002B18B3"/>
    <w:rsid w:val="002D0AFC"/>
    <w:rsid w:val="00300F3C"/>
    <w:rsid w:val="00317399"/>
    <w:rsid w:val="00385BA0"/>
    <w:rsid w:val="003D0E42"/>
    <w:rsid w:val="003F1BF9"/>
    <w:rsid w:val="00432542"/>
    <w:rsid w:val="00465A56"/>
    <w:rsid w:val="00495D77"/>
    <w:rsid w:val="004A21AD"/>
    <w:rsid w:val="004F10DB"/>
    <w:rsid w:val="00503C44"/>
    <w:rsid w:val="00514789"/>
    <w:rsid w:val="005248A5"/>
    <w:rsid w:val="00526C69"/>
    <w:rsid w:val="0053065D"/>
    <w:rsid w:val="00540C33"/>
    <w:rsid w:val="00547583"/>
    <w:rsid w:val="00565B80"/>
    <w:rsid w:val="005D6406"/>
    <w:rsid w:val="006210C3"/>
    <w:rsid w:val="0063739F"/>
    <w:rsid w:val="00643946"/>
    <w:rsid w:val="00646B74"/>
    <w:rsid w:val="006616F3"/>
    <w:rsid w:val="00727D25"/>
    <w:rsid w:val="00785E77"/>
    <w:rsid w:val="007E3D02"/>
    <w:rsid w:val="007E4848"/>
    <w:rsid w:val="00842EFC"/>
    <w:rsid w:val="00846DBB"/>
    <w:rsid w:val="00887A65"/>
    <w:rsid w:val="008A75F1"/>
    <w:rsid w:val="008E7CBA"/>
    <w:rsid w:val="008F0DFD"/>
    <w:rsid w:val="009403C5"/>
    <w:rsid w:val="00940F11"/>
    <w:rsid w:val="00942172"/>
    <w:rsid w:val="00986A30"/>
    <w:rsid w:val="009E02EE"/>
    <w:rsid w:val="009E28FF"/>
    <w:rsid w:val="00A746CF"/>
    <w:rsid w:val="00AE0D2E"/>
    <w:rsid w:val="00AE329F"/>
    <w:rsid w:val="00B877CF"/>
    <w:rsid w:val="00BB739B"/>
    <w:rsid w:val="00BD42D5"/>
    <w:rsid w:val="00C2070D"/>
    <w:rsid w:val="00C24945"/>
    <w:rsid w:val="00C53463"/>
    <w:rsid w:val="00C6438F"/>
    <w:rsid w:val="00C845A5"/>
    <w:rsid w:val="00D10379"/>
    <w:rsid w:val="00D21209"/>
    <w:rsid w:val="00D25A8F"/>
    <w:rsid w:val="00D45727"/>
    <w:rsid w:val="00D53C32"/>
    <w:rsid w:val="00D6279F"/>
    <w:rsid w:val="00DD2E59"/>
    <w:rsid w:val="00DF3643"/>
    <w:rsid w:val="00DF533E"/>
    <w:rsid w:val="00E0476D"/>
    <w:rsid w:val="00E5129F"/>
    <w:rsid w:val="00ED6B9B"/>
    <w:rsid w:val="00F35B3D"/>
    <w:rsid w:val="00F609D7"/>
    <w:rsid w:val="00F7303E"/>
    <w:rsid w:val="00F73CC5"/>
    <w:rsid w:val="00F80CEA"/>
    <w:rsid w:val="00F97E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7A592"/>
  <w15:docId w15:val="{E16275E3-05F2-42BA-B332-B0C5BCE4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EE"/>
    <w:pPr>
      <w:bidi/>
    </w:pPr>
    <w:rPr>
      <w:rFonts w:cs="Narkisim"/>
      <w:sz w:val="24"/>
      <w:szCs w:val="24"/>
      <w:lang w:eastAsia="he-IL"/>
    </w:rPr>
  </w:style>
  <w:style w:type="paragraph" w:styleId="Heading1">
    <w:name w:val="heading 1"/>
    <w:basedOn w:val="Normal"/>
    <w:next w:val="Normal"/>
    <w:qFormat/>
    <w:rsid w:val="009E02EE"/>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02EE"/>
    <w:pPr>
      <w:jc w:val="center"/>
    </w:pPr>
    <w:rPr>
      <w:b/>
      <w:bCs/>
      <w:u w:val="single"/>
    </w:rPr>
  </w:style>
  <w:style w:type="paragraph" w:styleId="BalloonText">
    <w:name w:val="Balloon Text"/>
    <w:basedOn w:val="Normal"/>
    <w:semiHidden/>
    <w:rsid w:val="009E02EE"/>
    <w:rPr>
      <w:rFonts w:ascii="Tahoma" w:hAnsi="Tahoma" w:cs="Tahoma"/>
      <w:sz w:val="16"/>
      <w:szCs w:val="16"/>
    </w:rPr>
  </w:style>
  <w:style w:type="character" w:styleId="Hyperlink">
    <w:name w:val="Hyperlink"/>
    <w:basedOn w:val="DefaultParagraphFont"/>
    <w:rsid w:val="00AE329F"/>
    <w:rPr>
      <w:color w:val="0000FF"/>
      <w:u w:val="single"/>
    </w:rPr>
  </w:style>
  <w:style w:type="paragraph" w:styleId="Subtitle">
    <w:name w:val="Subtitle"/>
    <w:basedOn w:val="Normal"/>
    <w:qFormat/>
    <w:rsid w:val="00181EAE"/>
    <w:pPr>
      <w:jc w:val="center"/>
    </w:pPr>
    <w:rPr>
      <w:rFonts w:cs="David Transparent"/>
      <w:b/>
      <w:bCs/>
    </w:rPr>
  </w:style>
  <w:style w:type="paragraph" w:customStyle="1" w:styleId="NormalPar">
    <w:name w:val="NormalPar"/>
    <w:rsid w:val="00643946"/>
    <w:pPr>
      <w:bidi/>
    </w:pPr>
    <w:rPr>
      <w:rFonts w:cs="David"/>
      <w:snapToGrid w:val="0"/>
      <w:sz w:val="24"/>
      <w:szCs w:val="24"/>
      <w:lang w:eastAsia="he-IL"/>
    </w:rPr>
  </w:style>
  <w:style w:type="paragraph" w:customStyle="1" w:styleId="Normal0">
    <w:name w:val="Normal*"/>
    <w:rsid w:val="008A75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ight="540"/>
    </w:pPr>
    <w:rPr>
      <w:rFonts w:ascii="Times" w:hAnsi="Times" w:cs="Times"/>
      <w:sz w:val="28"/>
      <w:szCs w:val="28"/>
      <w:lang w:bidi="ar-SA"/>
    </w:rPr>
  </w:style>
  <w:style w:type="paragraph" w:styleId="EndnoteText">
    <w:name w:val="endnote text"/>
    <w:basedOn w:val="Normal"/>
    <w:link w:val="EndnoteTextChar"/>
    <w:rsid w:val="00266245"/>
    <w:rPr>
      <w:rFonts w:cs="Times New Roman"/>
      <w:sz w:val="20"/>
      <w:szCs w:val="20"/>
      <w:lang w:eastAsia="en-US"/>
    </w:rPr>
  </w:style>
  <w:style w:type="character" w:customStyle="1" w:styleId="EndnoteTextChar">
    <w:name w:val="Endnote Text Char"/>
    <w:basedOn w:val="DefaultParagraphFont"/>
    <w:link w:val="EndnoteText"/>
    <w:rsid w:val="00266245"/>
  </w:style>
  <w:style w:type="paragraph" w:customStyle="1" w:styleId="EndnoteText1">
    <w:name w:val="Endnote Text1"/>
    <w:basedOn w:val="Normal"/>
    <w:rsid w:val="00526C69"/>
    <w:pPr>
      <w:suppressAutoHyphens/>
      <w:bidi w:val="0"/>
      <w:spacing w:line="240" w:lineRule="atLeast"/>
    </w:pPr>
    <w:rPr>
      <w:rFonts w:ascii="Arial" w:hAnsi="Arial" w:cs="Arial"/>
      <w:kern w:val="1"/>
    </w:rPr>
  </w:style>
  <w:style w:type="character" w:customStyle="1" w:styleId="EndnoteTextChar1">
    <w:name w:val="Endnote Text Char1"/>
    <w:basedOn w:val="DefaultParagraphFont"/>
    <w:rsid w:val="002756BA"/>
    <w:rPr>
      <w:lang w:eastAsia="he-IL"/>
    </w:rPr>
  </w:style>
  <w:style w:type="character" w:customStyle="1" w:styleId="bold1">
    <w:name w:val="bold1"/>
    <w:basedOn w:val="DefaultParagraphFont"/>
    <w:rsid w:val="007E3D02"/>
    <w:rPr>
      <w:b/>
      <w:bCs/>
      <w:color w:val="333333"/>
    </w:rPr>
  </w:style>
  <w:style w:type="paragraph" w:styleId="FootnoteText">
    <w:name w:val="footnote text"/>
    <w:aliases w:val="טקסט הערות שוליים תו Char Char Char,טקסט הערות שוליים תו Char Char,טקסט הערות שוליים תו תו Char Char,טקסט הערות שוליים תו תו Char Char Char Char Char,טקסט הערות שוליים תו תו Char,טקסט הערות שוליים תו תו תו"/>
    <w:basedOn w:val="Normal"/>
    <w:link w:val="FootnoteTextChar"/>
    <w:rsid w:val="00D45727"/>
    <w:pPr>
      <w:spacing w:line="295" w:lineRule="exact"/>
      <w:jc w:val="both"/>
    </w:pPr>
    <w:rPr>
      <w:rFonts w:cs="FrankRuehl"/>
      <w:color w:val="000000"/>
      <w:sz w:val="20"/>
      <w:szCs w:val="20"/>
    </w:rPr>
  </w:style>
  <w:style w:type="character" w:customStyle="1" w:styleId="FootnoteTextChar">
    <w:name w:val="Footnote Text Char"/>
    <w:aliases w:val="טקסט הערות שוליים תו Char Char Char Char,טקסט הערות שוליים תו Char Char Char1,טקסט הערות שוליים תו תו Char Char Char,טקסט הערות שוליים תו תו Char Char Char Char Char Char,טקסט הערות שוליים תו תו Char Char1"/>
    <w:basedOn w:val="DefaultParagraphFont"/>
    <w:link w:val="FootnoteText"/>
    <w:rsid w:val="00D45727"/>
    <w:rPr>
      <w:rFonts w:cs="FrankRuehl"/>
      <w:color w:val="000000"/>
      <w:lang w:eastAsia="he-IL"/>
    </w:rPr>
  </w:style>
  <w:style w:type="character" w:styleId="FootnoteReference">
    <w:name w:val="footnote reference"/>
    <w:basedOn w:val="DefaultParagraphFont"/>
    <w:rsid w:val="00D45727"/>
    <w:rPr>
      <w:rFonts w:cs="Times New Roman"/>
      <w:vertAlign w:val="superscript"/>
    </w:rPr>
  </w:style>
  <w:style w:type="character" w:customStyle="1" w:styleId="authorss">
    <w:name w:val="§authors_s"/>
    <w:basedOn w:val="DefaultParagraphFont"/>
    <w:rsid w:val="00C24945"/>
    <w:rPr>
      <w:rFonts w:ascii="Times New Roman" w:hAnsi="Times New Roman"/>
      <w:b/>
      <w:lang w:val="en-US"/>
    </w:rPr>
  </w:style>
  <w:style w:type="character" w:customStyle="1" w:styleId="authorsf">
    <w:name w:val="§authors_f"/>
    <w:basedOn w:val="DefaultParagraphFont"/>
    <w:rsid w:val="00C24945"/>
    <w:rPr>
      <w:rFonts w:ascii="Times New Roman" w:hAnsi="Times New Roman"/>
      <w:b/>
      <w:lang w:val="en-US"/>
    </w:rPr>
  </w:style>
  <w:style w:type="character" w:customStyle="1" w:styleId="date">
    <w:name w:val="§date"/>
    <w:rsid w:val="00C24945"/>
    <w:rPr>
      <w:rFonts w:ascii="Times New Roman" w:hAnsi="Times New Roman"/>
      <w:lang w:val="en-US"/>
    </w:rPr>
  </w:style>
  <w:style w:type="character" w:customStyle="1" w:styleId="booktitle">
    <w:name w:val="§book title"/>
    <w:basedOn w:val="journal-title"/>
    <w:rsid w:val="00C24945"/>
    <w:rPr>
      <w:rFonts w:ascii="Times New Roman" w:hAnsi="Times New Roman"/>
      <w:i/>
      <w:lang w:val="en-US"/>
    </w:rPr>
  </w:style>
  <w:style w:type="character" w:customStyle="1" w:styleId="journal-title">
    <w:name w:val="§journal-title"/>
    <w:rsid w:val="00C24945"/>
    <w:rPr>
      <w:rFonts w:ascii="Times New Roman" w:hAnsi="Times New Roman"/>
      <w:i/>
      <w:lang w:val="en-US"/>
    </w:rPr>
  </w:style>
  <w:style w:type="character" w:customStyle="1" w:styleId="publisherloc">
    <w:name w:val="§publisher_loc"/>
    <w:basedOn w:val="publisher"/>
    <w:rsid w:val="00C24945"/>
    <w:rPr>
      <w:rFonts w:ascii="Times New Roman" w:hAnsi="Times New Roman"/>
      <w:lang w:val="en-US"/>
    </w:rPr>
  </w:style>
  <w:style w:type="character" w:customStyle="1" w:styleId="publisher">
    <w:name w:val="§publisher"/>
    <w:rsid w:val="00C24945"/>
    <w:rPr>
      <w:rFonts w:ascii="Times New Roman" w:hAnsi="Times New Roman"/>
      <w:lang w:val="en-US"/>
    </w:rPr>
  </w:style>
  <w:style w:type="paragraph" w:customStyle="1" w:styleId="bib">
    <w:name w:val="§bib"/>
    <w:basedOn w:val="Normal"/>
    <w:rsid w:val="00C24945"/>
    <w:pPr>
      <w:bidi w:val="0"/>
      <w:spacing w:before="120" w:after="120" w:line="360" w:lineRule="auto"/>
      <w:ind w:left="720" w:hanging="720"/>
    </w:pPr>
    <w:rPr>
      <w:rFonts w:cs="Times New Roman"/>
      <w:sz w:val="22"/>
      <w:lang w:eastAsia="en-US" w:bidi="ar-SA"/>
    </w:rPr>
  </w:style>
  <w:style w:type="character" w:customStyle="1" w:styleId="pageextent">
    <w:name w:val="§page extent"/>
    <w:rsid w:val="00C24945"/>
    <w:rPr>
      <w:rFonts w:ascii="Times New Roman" w:hAnsi="Times New Roman"/>
      <w:lang w:val="en-US"/>
    </w:rPr>
  </w:style>
  <w:style w:type="character" w:customStyle="1" w:styleId="Articletitle">
    <w:name w:val="§Article title"/>
    <w:rsid w:val="00940F11"/>
    <w:rPr>
      <w:rFonts w:ascii="Times New Roman" w:hAnsi="Times New Roman"/>
      <w:lang w:val="en-US"/>
    </w:rPr>
  </w:style>
  <w:style w:type="character" w:customStyle="1" w:styleId="volume">
    <w:name w:val="§volume"/>
    <w:rsid w:val="00940F11"/>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D3F98-3EA0-45DB-9F4F-AC081E2D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אוניברסיטת בן גוריון בנגב</vt:lpstr>
    </vt:vector>
  </TitlesOfParts>
  <Company>Ben- Gurion University of the Negev</Company>
  <LinksUpToDate>false</LinksUpToDate>
  <CharactersWithSpaces>5043</CharactersWithSpaces>
  <SharedDoc>false</SharedDoc>
  <HLinks>
    <vt:vector size="18" baseType="variant">
      <vt:variant>
        <vt:i4>2162744</vt:i4>
      </vt:variant>
      <vt:variant>
        <vt:i4>6</vt:i4>
      </vt:variant>
      <vt:variant>
        <vt:i4>0</vt:i4>
      </vt:variant>
      <vt:variant>
        <vt:i4>5</vt:i4>
      </vt:variant>
      <vt:variant>
        <vt:lpwstr>javascript:open_window(%22http://dahab.bgu.ac.il:80/F/HE4Q4I39N7Q89A9ILANGF2Y4C8HKIJDF5HV5SVFQ97YT98PMVI-00556?func=service&amp;doc_number=001402006&amp;line_number=0006&amp;service_type=TAG%22);</vt:lpwstr>
      </vt:variant>
      <vt:variant>
        <vt:lpwstr/>
      </vt:variant>
      <vt:variant>
        <vt:i4>327698</vt:i4>
      </vt:variant>
      <vt:variant>
        <vt:i4>3</vt:i4>
      </vt:variant>
      <vt:variant>
        <vt:i4>0</vt:i4>
      </vt:variant>
      <vt:variant>
        <vt:i4>5</vt:i4>
      </vt:variant>
      <vt:variant>
        <vt:lpwstr>http://www.queensu.ca/sps/WorkingPapers/files/sps_wp_33.pdf</vt:lpwstr>
      </vt:variant>
      <vt:variant>
        <vt:lpwstr/>
      </vt:variant>
      <vt:variant>
        <vt:i4>7209057</vt:i4>
      </vt:variant>
      <vt:variant>
        <vt:i4>0</vt:i4>
      </vt:variant>
      <vt:variant>
        <vt:i4>0</vt:i4>
      </vt:variant>
      <vt:variant>
        <vt:i4>5</vt:i4>
      </vt:variant>
      <vt:variant>
        <vt:lpwstr>http://www.tandf.co.uk/journals/titles/09546553.asp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 בן גוריון בנגב</dc:title>
  <dc:creator>School of Management</dc:creator>
  <cp:lastModifiedBy>גיא בן פורת</cp:lastModifiedBy>
  <cp:revision>2</cp:revision>
  <cp:lastPrinted>2008-04-07T06:56:00Z</cp:lastPrinted>
  <dcterms:created xsi:type="dcterms:W3CDTF">2019-09-15T09:06:00Z</dcterms:created>
  <dcterms:modified xsi:type="dcterms:W3CDTF">2019-09-15T09:06:00Z</dcterms:modified>
</cp:coreProperties>
</file>