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D" w:rsidRDefault="007C00BD" w:rsidP="007C00BD">
      <w:pPr>
        <w:jc w:val="center"/>
        <w:rPr>
          <w:b/>
          <w:bCs/>
          <w:szCs w:val="28"/>
          <w:rtl/>
        </w:rPr>
      </w:pPr>
    </w:p>
    <w:p w:rsidR="007C00BD" w:rsidRDefault="007C00BD" w:rsidP="007C00BD">
      <w:pP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אוניברסיט</w:t>
      </w:r>
      <w:r>
        <w:rPr>
          <w:rFonts w:hint="cs"/>
          <w:b/>
          <w:bCs/>
          <w:szCs w:val="28"/>
          <w:rtl/>
        </w:rPr>
        <w:t>ת בן-גוריון</w:t>
      </w:r>
    </w:p>
    <w:p w:rsidR="007C00BD" w:rsidRDefault="007C00BD" w:rsidP="007C00BD">
      <w:pPr>
        <w:jc w:val="center"/>
        <w:rPr>
          <w:b/>
          <w:bCs/>
          <w:rtl/>
        </w:rPr>
      </w:pPr>
      <w:r>
        <w:rPr>
          <w:b/>
          <w:bCs/>
          <w:rtl/>
        </w:rPr>
        <w:t>החוג לפילוסופיה</w:t>
      </w:r>
    </w:p>
    <w:p w:rsidR="007C00BD" w:rsidRDefault="007C00BD" w:rsidP="007C00BD">
      <w:pPr>
        <w:jc w:val="center"/>
        <w:rPr>
          <w:b/>
          <w:bCs/>
          <w:rtl/>
        </w:rPr>
      </w:pPr>
    </w:p>
    <w:p w:rsidR="007C00BD" w:rsidRDefault="007C00BD" w:rsidP="007C00B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על גבולות הרציונליות </w:t>
      </w:r>
      <w:r w:rsidRPr="00B64F3D">
        <w:rPr>
          <w:rFonts w:hint="cs"/>
          <w:b/>
          <w:bCs/>
          <w:sz w:val="28"/>
          <w:szCs w:val="28"/>
          <w:rtl/>
        </w:rPr>
        <w:t>באתיקה</w:t>
      </w:r>
    </w:p>
    <w:p w:rsidR="007C00BD" w:rsidRDefault="007C00BD" w:rsidP="007C00BD">
      <w:pPr>
        <w:jc w:val="center"/>
        <w:rPr>
          <w:b/>
          <w:bCs/>
          <w:rtl/>
        </w:rPr>
      </w:pPr>
    </w:p>
    <w:p w:rsidR="007C00BD" w:rsidRDefault="007C00BD" w:rsidP="007C00B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סמינר מ.א., </w:t>
      </w:r>
      <w:proofErr w:type="spellStart"/>
      <w:r>
        <w:rPr>
          <w:rFonts w:hint="cs"/>
          <w:b/>
          <w:bCs/>
          <w:rtl/>
        </w:rPr>
        <w:t>סמ</w:t>
      </w:r>
      <w:proofErr w:type="spellEnd"/>
      <w:r>
        <w:rPr>
          <w:rFonts w:hint="cs"/>
          <w:b/>
          <w:bCs/>
          <w:rtl/>
        </w:rPr>
        <w:t xml:space="preserve">' א', תשע"ד        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                               דר' שלמה כהן</w:t>
      </w:r>
    </w:p>
    <w:p w:rsidR="007C00BD" w:rsidRDefault="007C00BD" w:rsidP="007C00BD">
      <w:pPr>
        <w:rPr>
          <w:b/>
          <w:bCs/>
          <w:rtl/>
        </w:rPr>
      </w:pPr>
    </w:p>
    <w:p w:rsidR="007C00BD" w:rsidRDefault="007C00BD" w:rsidP="007C00B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דרישות הקורס:</w:t>
      </w:r>
    </w:p>
    <w:p w:rsidR="007C00BD" w:rsidRDefault="007C00BD" w:rsidP="007C00BD">
      <w:pPr>
        <w:rPr>
          <w:rtl/>
        </w:rPr>
      </w:pPr>
      <w:r>
        <w:rPr>
          <w:rFonts w:hint="cs"/>
          <w:rtl/>
        </w:rPr>
        <w:t>1. נוכחות</w:t>
      </w:r>
    </w:p>
    <w:p w:rsidR="00E44445" w:rsidRDefault="007C00BD" w:rsidP="0064614B">
      <w:pPr>
        <w:rPr>
          <w:rtl/>
        </w:rPr>
      </w:pPr>
      <w:r>
        <w:rPr>
          <w:rFonts w:hint="cs"/>
          <w:rtl/>
        </w:rPr>
        <w:t>2. התלמידים אמורים לקרוא משבוע לשבוע את הפרק הרלבנטי. כל תלמיד</w:t>
      </w:r>
      <w:r w:rsidR="00E44445">
        <w:rPr>
          <w:rFonts w:hint="cs"/>
          <w:rtl/>
        </w:rPr>
        <w:t>/ה</w:t>
      </w:r>
      <w:r>
        <w:rPr>
          <w:rFonts w:hint="cs"/>
          <w:rtl/>
        </w:rPr>
        <w:t xml:space="preserve"> צריך</w:t>
      </w:r>
      <w:r w:rsidR="00E44445">
        <w:rPr>
          <w:rFonts w:hint="cs"/>
          <w:rtl/>
        </w:rPr>
        <w:t>/ה</w:t>
      </w:r>
      <w:r w:rsidR="0064614B">
        <w:rPr>
          <w:rFonts w:hint="cs"/>
          <w:rtl/>
        </w:rPr>
        <w:t xml:space="preserve"> להגיש 3-5</w:t>
      </w:r>
      <w:r>
        <w:rPr>
          <w:rFonts w:hint="cs"/>
          <w:rtl/>
        </w:rPr>
        <w:t xml:space="preserve"> פעמים במהלך הסמסטר לפני תחילת השיעור עבודה בת עמוד </w:t>
      </w:r>
      <w:r w:rsidR="00E44445">
        <w:rPr>
          <w:rFonts w:hint="cs"/>
          <w:rtl/>
        </w:rPr>
        <w:t>עד עמוד וחצי</w:t>
      </w:r>
      <w:r>
        <w:rPr>
          <w:rFonts w:hint="cs"/>
          <w:rtl/>
        </w:rPr>
        <w:t xml:space="preserve"> על החומר הנקרא לקראת אותו השיעור. העבודה תכלול תמצות מדויק של ה</w:t>
      </w:r>
      <w:r w:rsidR="00E44445">
        <w:rPr>
          <w:rFonts w:hint="cs"/>
          <w:rtl/>
        </w:rPr>
        <w:t>מסרים המרכזיים</w:t>
      </w:r>
      <w:r>
        <w:rPr>
          <w:rFonts w:hint="cs"/>
          <w:rtl/>
        </w:rPr>
        <w:t xml:space="preserve"> של הטקסט בתוספת ביקורת של התלמיד</w:t>
      </w:r>
      <w:r w:rsidR="00E44445">
        <w:rPr>
          <w:rFonts w:hint="cs"/>
          <w:rtl/>
        </w:rPr>
        <w:t>/ה על טיעון כלשהו בטקסט</w:t>
      </w:r>
      <w:r>
        <w:rPr>
          <w:rFonts w:hint="cs"/>
          <w:rtl/>
        </w:rPr>
        <w:t xml:space="preserve">). </w:t>
      </w:r>
      <w:r w:rsidR="00E44445">
        <w:rPr>
          <w:rFonts w:hint="cs"/>
          <w:rtl/>
        </w:rPr>
        <w:t>כל עבודה כזו תהווה 10% מהציון.</w:t>
      </w:r>
    </w:p>
    <w:p w:rsidR="007C00BD" w:rsidRDefault="00E44445" w:rsidP="00E44445">
      <w:pPr>
        <w:rPr>
          <w:rtl/>
        </w:rPr>
      </w:pPr>
      <w:r>
        <w:rPr>
          <w:rFonts w:hint="cs"/>
          <w:rtl/>
        </w:rPr>
        <w:t xml:space="preserve">3. </w:t>
      </w:r>
      <w:r w:rsidR="007C00BD">
        <w:rPr>
          <w:rFonts w:hint="cs"/>
          <w:rtl/>
        </w:rPr>
        <w:t xml:space="preserve">עבודה בכתב </w:t>
      </w:r>
      <w:r>
        <w:rPr>
          <w:rFonts w:hint="cs"/>
          <w:rtl/>
        </w:rPr>
        <w:t>בסיום הקורס (50</w:t>
      </w:r>
      <w:r w:rsidR="0064614B">
        <w:rPr>
          <w:rFonts w:hint="cs"/>
          <w:rtl/>
        </w:rPr>
        <w:t>-70</w:t>
      </w:r>
      <w:r>
        <w:rPr>
          <w:rFonts w:hint="cs"/>
          <w:rtl/>
        </w:rPr>
        <w:t>% מהציון</w:t>
      </w:r>
      <w:r w:rsidR="0064614B">
        <w:rPr>
          <w:rFonts w:hint="cs"/>
          <w:rtl/>
        </w:rPr>
        <w:t xml:space="preserve"> </w:t>
      </w:r>
      <w:r w:rsidR="0064614B">
        <w:rPr>
          <w:rtl/>
        </w:rPr>
        <w:t>–</w:t>
      </w:r>
      <w:r w:rsidR="0064614B">
        <w:rPr>
          <w:rFonts w:hint="cs"/>
          <w:rtl/>
        </w:rPr>
        <w:t xml:space="preserve"> בהשלמה למספר העבודות שהוגשו בסמסטר</w:t>
      </w:r>
      <w:r>
        <w:rPr>
          <w:rFonts w:hint="cs"/>
          <w:rtl/>
        </w:rPr>
        <w:t>)</w:t>
      </w:r>
      <w:r w:rsidR="007C00BD">
        <w:rPr>
          <w:rFonts w:hint="cs"/>
          <w:rtl/>
        </w:rPr>
        <w:t xml:space="preserve">.    </w:t>
      </w:r>
    </w:p>
    <w:p w:rsidR="007C00BD" w:rsidRDefault="007C00BD" w:rsidP="007C00BD">
      <w:pPr>
        <w:rPr>
          <w:rtl/>
        </w:rPr>
      </w:pPr>
      <w:r>
        <w:rPr>
          <w:rFonts w:hint="cs"/>
          <w:rtl/>
        </w:rPr>
        <w:t xml:space="preserve">    </w:t>
      </w:r>
      <w:r>
        <w:rPr>
          <w:rFonts w:hint="cs"/>
          <w:b/>
          <w:bCs/>
          <w:rtl/>
        </w:rPr>
        <w:t>תכנית הקורס</w:t>
      </w:r>
      <w:r>
        <w:rPr>
          <w:rFonts w:hint="cs"/>
          <w:rtl/>
        </w:rPr>
        <w:t>:</w:t>
      </w:r>
    </w:p>
    <w:p w:rsidR="007C00BD" w:rsidRDefault="007C00BD" w:rsidP="00E44445">
      <w:pPr>
        <w:rPr>
          <w:rtl/>
        </w:rPr>
      </w:pPr>
      <w:r>
        <w:rPr>
          <w:rFonts w:hint="cs"/>
          <w:rtl/>
        </w:rPr>
        <w:t>(שימו לב: יתכנו שינויים בחומר הקריאה</w:t>
      </w:r>
      <w:r w:rsidR="00E44445">
        <w:rPr>
          <w:rFonts w:hint="cs"/>
          <w:rtl/>
        </w:rPr>
        <w:t xml:space="preserve"> בהתאם לדינמיקה בשיעורים; היו ע</w:t>
      </w:r>
      <w:r>
        <w:rPr>
          <w:rFonts w:hint="cs"/>
          <w:rtl/>
        </w:rPr>
        <w:t>רנ</w:t>
      </w:r>
      <w:r w:rsidR="00E44445">
        <w:rPr>
          <w:rFonts w:hint="cs"/>
          <w:rtl/>
        </w:rPr>
        <w:t>י</w:t>
      </w:r>
      <w:r>
        <w:rPr>
          <w:rFonts w:hint="cs"/>
          <w:rtl/>
        </w:rPr>
        <w:t xml:space="preserve">ים ושימו לב </w:t>
      </w:r>
      <w:r w:rsidR="00E44445">
        <w:rPr>
          <w:rFonts w:hint="cs"/>
          <w:rtl/>
        </w:rPr>
        <w:t>להודעותי</w:t>
      </w:r>
      <w:r w:rsidR="00E44445">
        <w:rPr>
          <w:rFonts w:hint="eastAsia"/>
          <w:rtl/>
        </w:rPr>
        <w:t>י</w:t>
      </w:r>
      <w:r>
        <w:rPr>
          <w:rFonts w:hint="cs"/>
          <w:rtl/>
        </w:rPr>
        <w:t xml:space="preserve"> במהלך הסמסטר. בכל מקרה, החומר הרלוונטי לכל שבוע יהיה באתר הקורס)</w:t>
      </w:r>
    </w:p>
    <w:p w:rsidR="007C00BD" w:rsidRDefault="007C00BD" w:rsidP="007C00BD">
      <w:pPr>
        <w:rPr>
          <w:rtl/>
        </w:rPr>
      </w:pPr>
    </w:p>
    <w:p w:rsidR="00E44445" w:rsidRPr="00E44445" w:rsidRDefault="00E44445" w:rsidP="00E44445">
      <w:pPr>
        <w:bidi w:val="0"/>
        <w:spacing w:after="120"/>
        <w:rPr>
          <w:sz w:val="22"/>
          <w:szCs w:val="22"/>
        </w:rPr>
      </w:pPr>
      <w:r w:rsidRPr="00E44445">
        <w:rPr>
          <w:sz w:val="22"/>
          <w:szCs w:val="22"/>
        </w:rPr>
        <w:t xml:space="preserve">Introduction </w:t>
      </w:r>
    </w:p>
    <w:p w:rsidR="00E44445" w:rsidRPr="00E44445" w:rsidRDefault="00E44445" w:rsidP="00E44445">
      <w:pPr>
        <w:bidi w:val="0"/>
        <w:spacing w:after="120"/>
        <w:rPr>
          <w:sz w:val="22"/>
          <w:szCs w:val="22"/>
        </w:rPr>
      </w:pPr>
      <w:r w:rsidRPr="00E44445">
        <w:rPr>
          <w:sz w:val="22"/>
          <w:szCs w:val="22"/>
        </w:rPr>
        <w:t xml:space="preserve">John </w:t>
      </w:r>
      <w:proofErr w:type="spellStart"/>
      <w:r w:rsidRPr="00E44445">
        <w:rPr>
          <w:sz w:val="22"/>
          <w:szCs w:val="22"/>
        </w:rPr>
        <w:t>Kekes</w:t>
      </w:r>
      <w:proofErr w:type="spellEnd"/>
      <w:r w:rsidRPr="00E44445">
        <w:rPr>
          <w:sz w:val="22"/>
          <w:szCs w:val="22"/>
        </w:rPr>
        <w:t xml:space="preserve">, "On There being Some Limits to Morality" in </w:t>
      </w:r>
      <w:r w:rsidRPr="00E44445">
        <w:rPr>
          <w:i/>
          <w:iCs/>
          <w:sz w:val="22"/>
          <w:szCs w:val="22"/>
        </w:rPr>
        <w:t>The Good Life and the Human Good</w:t>
      </w:r>
      <w:r w:rsidRPr="00E44445">
        <w:rPr>
          <w:sz w:val="22"/>
          <w:szCs w:val="22"/>
        </w:rPr>
        <w:t xml:space="preserve">, E. F. Paul, F. Miller, and J. Paul (eds.) (Cambridge and New York: Cambridge University press, 1992), pp. 63-80. [Originally published in </w:t>
      </w:r>
      <w:r w:rsidRPr="00E44445">
        <w:rPr>
          <w:i/>
          <w:iCs/>
          <w:sz w:val="22"/>
          <w:szCs w:val="22"/>
        </w:rPr>
        <w:t>Social Philosophy and Policy</w:t>
      </w:r>
      <w:r w:rsidRPr="00E44445">
        <w:rPr>
          <w:sz w:val="22"/>
          <w:szCs w:val="22"/>
        </w:rPr>
        <w:t xml:space="preserve"> 9(2) (1992): 63-80]</w:t>
      </w:r>
    </w:p>
    <w:p w:rsidR="00E44445" w:rsidRPr="00E44445" w:rsidRDefault="00E44445" w:rsidP="00303B47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proofErr w:type="spellStart"/>
      <w:r w:rsidRPr="00E44445">
        <w:rPr>
          <w:sz w:val="22"/>
          <w:szCs w:val="22"/>
        </w:rPr>
        <w:t>Risto</w:t>
      </w:r>
      <w:proofErr w:type="spellEnd"/>
      <w:r w:rsidRPr="00E44445">
        <w:rPr>
          <w:sz w:val="22"/>
          <w:szCs w:val="22"/>
        </w:rPr>
        <w:t xml:space="preserve"> </w:t>
      </w:r>
      <w:proofErr w:type="spellStart"/>
      <w:r w:rsidRPr="00E44445">
        <w:rPr>
          <w:sz w:val="22"/>
          <w:szCs w:val="22"/>
        </w:rPr>
        <w:t>Hilpinen</w:t>
      </w:r>
      <w:proofErr w:type="spellEnd"/>
      <w:r w:rsidRPr="00E44445">
        <w:rPr>
          <w:sz w:val="22"/>
          <w:szCs w:val="22"/>
        </w:rPr>
        <w:t xml:space="preserve">, </w:t>
      </w:r>
      <w:r w:rsidRPr="00E44445">
        <w:rPr>
          <w:color w:val="000000"/>
          <w:sz w:val="22"/>
          <w:szCs w:val="22"/>
          <w:shd w:val="clear" w:color="auto" w:fill="FFFFFF"/>
        </w:rPr>
        <w:t>“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Deontic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 xml:space="preserve"> Logic,” in Lou Goble (ed.) </w:t>
      </w:r>
      <w:r w:rsidRPr="00E44445">
        <w:rPr>
          <w:rStyle w:val="Emphasis"/>
          <w:color w:val="000000"/>
          <w:sz w:val="22"/>
          <w:szCs w:val="22"/>
          <w:shd w:val="clear" w:color="auto" w:fill="FFFFFF"/>
        </w:rPr>
        <w:t>The Blackw</w:t>
      </w:r>
      <w:bookmarkStart w:id="0" w:name="_GoBack"/>
      <w:bookmarkEnd w:id="0"/>
      <w:r w:rsidRPr="00E44445">
        <w:rPr>
          <w:rStyle w:val="Emphasis"/>
          <w:color w:val="000000"/>
          <w:sz w:val="22"/>
          <w:szCs w:val="22"/>
          <w:shd w:val="clear" w:color="auto" w:fill="FFFFFF"/>
        </w:rPr>
        <w:t>ell Guide to Philosophical Logic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(Malden: Blackwell, 2001), pp. 159-182. </w:t>
      </w:r>
      <w:r w:rsidRPr="00303B47">
        <w:rPr>
          <w:color w:val="000000"/>
          <w:sz w:val="22"/>
          <w:szCs w:val="22"/>
          <w:shd w:val="clear" w:color="auto" w:fill="FFFFFF"/>
        </w:rPr>
        <w:t>[NOTE: Sections 8.6 and 8.7 are not mandatory reading but enrichment for the interested]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Bernard Williams, "Ethical Consistency" in </w:t>
      </w:r>
      <w:r w:rsidRPr="00E44445">
        <w:rPr>
          <w:i/>
          <w:iCs/>
          <w:color w:val="000000"/>
          <w:sz w:val="22"/>
          <w:szCs w:val="22"/>
          <w:shd w:val="clear" w:color="auto" w:fill="FFFFFF"/>
        </w:rPr>
        <w:t>Problems of the Self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(Cambridge and New York: Cambridge University Press, 1973), pp. 166-186. 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Ruth 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Barcan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>-Marcus, “Moral Dilemmas and Consistency,”</w:t>
      </w:r>
      <w:r w:rsidRPr="00E4444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44445">
        <w:rPr>
          <w:rStyle w:val="Emphasis"/>
          <w:color w:val="000000"/>
          <w:sz w:val="22"/>
          <w:szCs w:val="22"/>
          <w:shd w:val="clear" w:color="auto" w:fill="FFFFFF"/>
        </w:rPr>
        <w:t>The Journal of Philosophy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77 (1980): 121–136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Peter Winch, "The Universalizability of Moral Judgment" in </w:t>
      </w:r>
      <w:r w:rsidRPr="00E44445">
        <w:rPr>
          <w:i/>
          <w:iCs/>
          <w:color w:val="000000"/>
          <w:sz w:val="22"/>
          <w:szCs w:val="22"/>
          <w:shd w:val="clear" w:color="auto" w:fill="FFFFFF"/>
        </w:rPr>
        <w:t>Ethics and Action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(London: 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Routledge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Kegan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 xml:space="preserve"> Paul, 1972), pp. 151-170. 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Thomas Nagel, "The Fragmentation of Value" in </w:t>
      </w:r>
      <w:r w:rsidRPr="00E44445">
        <w:rPr>
          <w:rStyle w:val="Emphasis"/>
          <w:color w:val="000000"/>
          <w:sz w:val="22"/>
          <w:szCs w:val="22"/>
          <w:shd w:val="clear" w:color="auto" w:fill="FFFFFF"/>
        </w:rPr>
        <w:t>Mortal Questions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(New York: Cambridge University Press, 1979), pp. 128-141. </w:t>
      </w:r>
    </w:p>
    <w:p w:rsidR="00E44445" w:rsidRPr="00E44445" w:rsidRDefault="003544C5" w:rsidP="003544C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3544C5">
        <w:rPr>
          <w:color w:val="000000"/>
          <w:sz w:val="22"/>
          <w:szCs w:val="22"/>
          <w:shd w:val="clear" w:color="auto" w:fill="FFFFFF"/>
        </w:rPr>
        <w:t xml:space="preserve">Walter </w:t>
      </w:r>
      <w:proofErr w:type="spellStart"/>
      <w:r w:rsidRPr="003544C5">
        <w:rPr>
          <w:color w:val="000000"/>
          <w:sz w:val="22"/>
          <w:szCs w:val="22"/>
          <w:shd w:val="clear" w:color="auto" w:fill="FFFFFF"/>
        </w:rPr>
        <w:t>Sinnott</w:t>
      </w:r>
      <w:proofErr w:type="spellEnd"/>
      <w:r w:rsidRPr="003544C5">
        <w:rPr>
          <w:color w:val="000000"/>
          <w:sz w:val="22"/>
          <w:szCs w:val="22"/>
          <w:shd w:val="clear" w:color="auto" w:fill="FFFFFF"/>
        </w:rPr>
        <w:t xml:space="preserve">-Armstrong, "Moral Dilemmas and Incomparability" </w:t>
      </w:r>
      <w:r w:rsidRPr="00AE6512">
        <w:rPr>
          <w:i/>
          <w:iCs/>
          <w:color w:val="000000"/>
          <w:sz w:val="22"/>
          <w:szCs w:val="22"/>
          <w:shd w:val="clear" w:color="auto" w:fill="FFFFFF"/>
        </w:rPr>
        <w:t>American Philosophical Quarterly</w:t>
      </w:r>
      <w:r w:rsidRPr="003544C5">
        <w:rPr>
          <w:color w:val="000000"/>
          <w:sz w:val="22"/>
          <w:szCs w:val="22"/>
          <w:shd w:val="clear" w:color="auto" w:fill="FFFFFF"/>
        </w:rPr>
        <w:t xml:space="preserve"> 22 (1985): 321-329. </w:t>
      </w:r>
    </w:p>
    <w:p w:rsidR="00E44445" w:rsidRPr="00E44445" w:rsidRDefault="00303B47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Thomas N</w:t>
      </w:r>
      <w:r w:rsidR="00E44445" w:rsidRPr="00E44445">
        <w:rPr>
          <w:color w:val="000000"/>
          <w:sz w:val="22"/>
          <w:szCs w:val="22"/>
          <w:shd w:val="clear" w:color="auto" w:fill="FFFFFF"/>
        </w:rPr>
        <w:t xml:space="preserve">agel, "Moral Luck" in </w:t>
      </w:r>
      <w:r w:rsidR="00E44445" w:rsidRPr="00E44445">
        <w:rPr>
          <w:rStyle w:val="Emphasis"/>
          <w:color w:val="000000"/>
          <w:sz w:val="22"/>
          <w:szCs w:val="22"/>
          <w:shd w:val="clear" w:color="auto" w:fill="FFFFFF"/>
        </w:rPr>
        <w:t>Mortal Questions</w:t>
      </w:r>
      <w:r w:rsidR="00E44445" w:rsidRPr="00E44445">
        <w:rPr>
          <w:color w:val="000000"/>
          <w:sz w:val="22"/>
          <w:szCs w:val="22"/>
          <w:shd w:val="clear" w:color="auto" w:fill="FFFFFF"/>
        </w:rPr>
        <w:t xml:space="preserve"> (New York: Cambridge University Press, 1979), pp. 24-38.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Saul 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Smilansky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 xml:space="preserve">, </w:t>
      </w:r>
      <w:r w:rsidRPr="00E44445">
        <w:rPr>
          <w:i/>
          <w:iCs/>
          <w:color w:val="000000"/>
          <w:sz w:val="22"/>
          <w:szCs w:val="22"/>
          <w:shd w:val="clear" w:color="auto" w:fill="FFFFFF"/>
        </w:rPr>
        <w:t>Ten Moral Paradoxes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(Oxford: Blackwell, 2007), Chapters </w:t>
      </w:r>
      <w:r w:rsidRPr="00303B47">
        <w:rPr>
          <w:color w:val="000000"/>
          <w:sz w:val="22"/>
          <w:szCs w:val="22"/>
          <w:shd w:val="clear" w:color="auto" w:fill="FFFFFF"/>
        </w:rPr>
        <w:t>5, 6, and 8.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color w:val="000000"/>
          <w:sz w:val="22"/>
          <w:szCs w:val="22"/>
          <w:shd w:val="clear" w:color="auto" w:fill="FFFFFF"/>
        </w:rPr>
        <w:t xml:space="preserve">Derek </w:t>
      </w:r>
      <w:proofErr w:type="spellStart"/>
      <w:r w:rsidRPr="00E44445">
        <w:rPr>
          <w:color w:val="000000"/>
          <w:sz w:val="22"/>
          <w:szCs w:val="22"/>
          <w:shd w:val="clear" w:color="auto" w:fill="FFFFFF"/>
        </w:rPr>
        <w:t>Parfit</w:t>
      </w:r>
      <w:proofErr w:type="spellEnd"/>
      <w:r w:rsidRPr="00E44445">
        <w:rPr>
          <w:color w:val="000000"/>
          <w:sz w:val="22"/>
          <w:szCs w:val="22"/>
          <w:shd w:val="clear" w:color="auto" w:fill="FFFFFF"/>
        </w:rPr>
        <w:t xml:space="preserve">, </w:t>
      </w:r>
      <w:r w:rsidRPr="00E44445">
        <w:rPr>
          <w:i/>
          <w:iCs/>
          <w:color w:val="000000"/>
          <w:sz w:val="22"/>
          <w:szCs w:val="22"/>
          <w:shd w:val="clear" w:color="auto" w:fill="FFFFFF"/>
        </w:rPr>
        <w:t>Reasons and Persons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(New York: Oxford University press, 1987), pp. 3-51. [NOTE: sections 1-9 and 19-end are not mandatory]  </w:t>
      </w:r>
    </w:p>
    <w:p w:rsidR="00E44445" w:rsidRPr="00E44445" w:rsidRDefault="00E44445" w:rsidP="00E44445">
      <w:pPr>
        <w:bidi w:val="0"/>
        <w:spacing w:after="120"/>
        <w:rPr>
          <w:color w:val="000000"/>
          <w:sz w:val="22"/>
          <w:szCs w:val="22"/>
          <w:shd w:val="clear" w:color="auto" w:fill="FFFFFF"/>
        </w:rPr>
      </w:pPr>
      <w:r w:rsidRPr="00E44445">
        <w:rPr>
          <w:sz w:val="22"/>
          <w:szCs w:val="22"/>
        </w:rPr>
        <w:t xml:space="preserve">Scott </w:t>
      </w:r>
      <w:proofErr w:type="spellStart"/>
      <w:r w:rsidRPr="00E44445">
        <w:rPr>
          <w:sz w:val="22"/>
          <w:szCs w:val="22"/>
        </w:rPr>
        <w:t>Plous</w:t>
      </w:r>
      <w:proofErr w:type="spellEnd"/>
      <w:r w:rsidRPr="00E44445">
        <w:rPr>
          <w:sz w:val="22"/>
          <w:szCs w:val="22"/>
        </w:rPr>
        <w:t xml:space="preserve">, </w:t>
      </w:r>
      <w:proofErr w:type="gramStart"/>
      <w:r w:rsidRPr="00E44445">
        <w:rPr>
          <w:i/>
          <w:iCs/>
          <w:sz w:val="22"/>
          <w:szCs w:val="22"/>
        </w:rPr>
        <w:t>The</w:t>
      </w:r>
      <w:proofErr w:type="gramEnd"/>
      <w:r w:rsidRPr="00E44445">
        <w:rPr>
          <w:i/>
          <w:iCs/>
          <w:sz w:val="22"/>
          <w:szCs w:val="22"/>
        </w:rPr>
        <w:t xml:space="preserve"> Psychology of Judgment and Decision Making</w:t>
      </w:r>
      <w:r w:rsidRPr="00E44445">
        <w:rPr>
          <w:color w:val="000000"/>
          <w:sz w:val="22"/>
          <w:szCs w:val="22"/>
          <w:shd w:val="clear" w:color="auto" w:fill="FFFFFF"/>
        </w:rPr>
        <w:t xml:space="preserve"> (New York: McGraw-Hill, 1993), pp. 79-105.  </w:t>
      </w:r>
    </w:p>
    <w:p w:rsidR="00303B47" w:rsidRDefault="00E44445" w:rsidP="00303B47">
      <w:pPr>
        <w:bidi w:val="0"/>
        <w:spacing w:after="120"/>
        <w:rPr>
          <w:sz w:val="22"/>
          <w:szCs w:val="22"/>
        </w:rPr>
      </w:pPr>
      <w:r w:rsidRPr="00E44445">
        <w:rPr>
          <w:sz w:val="22"/>
          <w:szCs w:val="22"/>
        </w:rPr>
        <w:t xml:space="preserve">Julia Driver, "The Virtues of Ignorance" </w:t>
      </w:r>
      <w:r w:rsidRPr="00E44445">
        <w:rPr>
          <w:i/>
          <w:iCs/>
          <w:sz w:val="22"/>
          <w:szCs w:val="22"/>
        </w:rPr>
        <w:t>Journal of Philosophy</w:t>
      </w:r>
      <w:r w:rsidRPr="00E44445">
        <w:rPr>
          <w:sz w:val="22"/>
          <w:szCs w:val="22"/>
        </w:rPr>
        <w:t xml:space="preserve"> </w:t>
      </w:r>
      <w:r w:rsidR="00303B47">
        <w:rPr>
          <w:sz w:val="22"/>
          <w:szCs w:val="22"/>
        </w:rPr>
        <w:t>86 (1989): 373-384.</w:t>
      </w:r>
    </w:p>
    <w:p w:rsidR="00E44445" w:rsidRPr="00E44445" w:rsidRDefault="00E44445" w:rsidP="00303B47">
      <w:pPr>
        <w:bidi w:val="0"/>
        <w:spacing w:after="120"/>
        <w:rPr>
          <w:sz w:val="22"/>
          <w:szCs w:val="22"/>
        </w:rPr>
      </w:pPr>
      <w:proofErr w:type="spellStart"/>
      <w:r w:rsidRPr="00E44445">
        <w:rPr>
          <w:sz w:val="22"/>
          <w:szCs w:val="22"/>
        </w:rPr>
        <w:t>Philippa</w:t>
      </w:r>
      <w:proofErr w:type="spellEnd"/>
      <w:r w:rsidRPr="00E44445">
        <w:rPr>
          <w:sz w:val="22"/>
          <w:szCs w:val="22"/>
        </w:rPr>
        <w:t xml:space="preserve"> Foot, "Rationality and Virtue" in </w:t>
      </w:r>
      <w:r w:rsidRPr="00E44445">
        <w:rPr>
          <w:i/>
          <w:iCs/>
          <w:sz w:val="22"/>
          <w:szCs w:val="22"/>
        </w:rPr>
        <w:t>Moral Dilemmas</w:t>
      </w:r>
      <w:r w:rsidRPr="00E44445">
        <w:rPr>
          <w:sz w:val="22"/>
          <w:szCs w:val="22"/>
        </w:rPr>
        <w:t xml:space="preserve"> (New York: Oxford University Press, 2002), pp. 159-174.  </w:t>
      </w:r>
    </w:p>
    <w:p w:rsidR="006D7F7F" w:rsidRPr="00E44445" w:rsidRDefault="00E44445" w:rsidP="006D7F7F">
      <w:pPr>
        <w:bidi w:val="0"/>
        <w:spacing w:after="120"/>
        <w:rPr>
          <w:sz w:val="22"/>
          <w:szCs w:val="22"/>
        </w:rPr>
      </w:pPr>
      <w:r w:rsidRPr="00E44445">
        <w:rPr>
          <w:sz w:val="22"/>
          <w:szCs w:val="22"/>
        </w:rPr>
        <w:t xml:space="preserve">Jon </w:t>
      </w:r>
      <w:proofErr w:type="spellStart"/>
      <w:r w:rsidRPr="00E44445">
        <w:rPr>
          <w:sz w:val="22"/>
          <w:szCs w:val="22"/>
        </w:rPr>
        <w:t>Elster</w:t>
      </w:r>
      <w:proofErr w:type="spellEnd"/>
      <w:r w:rsidRPr="00E44445">
        <w:rPr>
          <w:sz w:val="22"/>
          <w:szCs w:val="22"/>
        </w:rPr>
        <w:t xml:space="preserve">, </w:t>
      </w:r>
      <w:proofErr w:type="spellStart"/>
      <w:r w:rsidRPr="00E44445">
        <w:rPr>
          <w:i/>
          <w:iCs/>
          <w:sz w:val="22"/>
          <w:szCs w:val="22"/>
        </w:rPr>
        <w:t>Solomonic</w:t>
      </w:r>
      <w:proofErr w:type="spellEnd"/>
      <w:r w:rsidRPr="00E44445">
        <w:rPr>
          <w:i/>
          <w:iCs/>
          <w:sz w:val="22"/>
          <w:szCs w:val="22"/>
        </w:rPr>
        <w:t xml:space="preserve"> Judgments</w:t>
      </w:r>
      <w:r w:rsidRPr="00E44445">
        <w:rPr>
          <w:sz w:val="22"/>
          <w:szCs w:val="22"/>
        </w:rPr>
        <w:t xml:space="preserve"> (Cambridge: Cambridge University Press, 1989), pp. 62-78, 103-122. </w:t>
      </w:r>
    </w:p>
    <w:sectPr w:rsidR="006D7F7F" w:rsidRPr="00E44445" w:rsidSect="00CB2F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00BD"/>
    <w:rsid w:val="002B1FAF"/>
    <w:rsid w:val="00303B47"/>
    <w:rsid w:val="003544C5"/>
    <w:rsid w:val="00467F5E"/>
    <w:rsid w:val="0064614B"/>
    <w:rsid w:val="006D7F7F"/>
    <w:rsid w:val="0070777F"/>
    <w:rsid w:val="007C00BD"/>
    <w:rsid w:val="007C5623"/>
    <w:rsid w:val="00865D16"/>
    <w:rsid w:val="00AE6512"/>
    <w:rsid w:val="00BE4545"/>
    <w:rsid w:val="00CB2F18"/>
    <w:rsid w:val="00E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BD"/>
    <w:pPr>
      <w:ind w:left="720"/>
      <w:contextualSpacing/>
    </w:pPr>
  </w:style>
  <w:style w:type="character" w:styleId="Emphasis">
    <w:name w:val="Emphasis"/>
    <w:uiPriority w:val="20"/>
    <w:qFormat/>
    <w:rsid w:val="00E44445"/>
    <w:rPr>
      <w:i/>
      <w:iCs/>
    </w:rPr>
  </w:style>
  <w:style w:type="character" w:customStyle="1" w:styleId="apple-converted-space">
    <w:name w:val="apple-converted-space"/>
    <w:rsid w:val="00E4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B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BD"/>
    <w:pPr>
      <w:ind w:left="720"/>
      <w:contextualSpacing/>
    </w:pPr>
  </w:style>
  <w:style w:type="character" w:styleId="Emphasis">
    <w:name w:val="Emphasis"/>
    <w:uiPriority w:val="20"/>
    <w:qFormat/>
    <w:rsid w:val="00E44445"/>
    <w:rPr>
      <w:i/>
      <w:iCs/>
    </w:rPr>
  </w:style>
  <w:style w:type="character" w:customStyle="1" w:styleId="apple-converted-space">
    <w:name w:val="apple-converted-space"/>
    <w:rsid w:val="00E4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shlomocohen</dc:creator>
  <cp:lastModifiedBy>benshmer</cp:lastModifiedBy>
  <cp:revision>2</cp:revision>
  <dcterms:created xsi:type="dcterms:W3CDTF">2013-10-28T11:01:00Z</dcterms:created>
  <dcterms:modified xsi:type="dcterms:W3CDTF">2013-10-28T11:01:00Z</dcterms:modified>
</cp:coreProperties>
</file>