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3B" w:rsidRDefault="008F383B" w:rsidP="008F383B">
      <w:pPr>
        <w:bidi/>
        <w:spacing w:line="360" w:lineRule="auto"/>
        <w:jc w:val="center"/>
        <w:rPr>
          <w:rFonts w:cs="Narkisim"/>
          <w:b/>
          <w:bCs/>
          <w:sz w:val="32"/>
          <w:szCs w:val="32"/>
          <w:rtl/>
          <w:lang w:val="de-DE"/>
        </w:rPr>
      </w:pPr>
      <w:bookmarkStart w:id="0" w:name="_GoBack"/>
      <w:bookmarkEnd w:id="0"/>
      <w:r>
        <w:rPr>
          <w:rFonts w:cs="Narkisim" w:hint="cs"/>
          <w:b/>
          <w:bCs/>
          <w:sz w:val="32"/>
          <w:szCs w:val="32"/>
          <w:rtl/>
          <w:lang w:val="de-DE"/>
        </w:rPr>
        <w:t>סילבוס לסמינר "מעבר לטוב ולרוע"</w:t>
      </w:r>
    </w:p>
    <w:p w:rsidR="008F383B" w:rsidRDefault="008F383B" w:rsidP="008F383B">
      <w:pPr>
        <w:bidi/>
        <w:spacing w:line="360" w:lineRule="auto"/>
        <w:jc w:val="center"/>
        <w:rPr>
          <w:rFonts w:cs="Narkisim"/>
          <w:rtl/>
          <w:lang w:val="de-DE"/>
        </w:rPr>
      </w:pPr>
      <w:r>
        <w:rPr>
          <w:rFonts w:cs="Narkisim" w:hint="cs"/>
          <w:rtl/>
          <w:lang w:val="de-DE"/>
        </w:rPr>
        <w:t>סמסטר א'</w:t>
      </w:r>
    </w:p>
    <w:p w:rsidR="008F383B" w:rsidRDefault="008F383B" w:rsidP="008F383B">
      <w:pPr>
        <w:bidi/>
        <w:spacing w:line="360" w:lineRule="auto"/>
        <w:jc w:val="center"/>
        <w:rPr>
          <w:rFonts w:cs="Narkisim"/>
          <w:rtl/>
          <w:lang w:val="de-DE"/>
        </w:rPr>
      </w:pPr>
      <w:r>
        <w:rPr>
          <w:rFonts w:cs="Narkisim" w:hint="cs"/>
          <w:rtl/>
          <w:lang w:val="de-DE"/>
        </w:rPr>
        <w:t>יום ה' 12:00-14:00</w:t>
      </w:r>
    </w:p>
    <w:p w:rsidR="008F383B" w:rsidRDefault="008F383B" w:rsidP="008F383B">
      <w:pPr>
        <w:bidi/>
        <w:spacing w:line="360" w:lineRule="auto"/>
        <w:jc w:val="center"/>
        <w:rPr>
          <w:rFonts w:cs="Narkisim"/>
          <w:rtl/>
          <w:lang w:val="de-DE"/>
        </w:rPr>
      </w:pPr>
      <w:r w:rsidRPr="00357C91">
        <w:rPr>
          <w:rFonts w:cs="Narkisim" w:hint="cs"/>
          <w:rtl/>
          <w:lang w:val="de-DE"/>
        </w:rPr>
        <w:t>ד"ר איריס מאיר</w:t>
      </w:r>
    </w:p>
    <w:p w:rsidR="008F383B" w:rsidRDefault="008F383B" w:rsidP="008F383B">
      <w:pPr>
        <w:bidi/>
        <w:spacing w:line="360" w:lineRule="auto"/>
        <w:jc w:val="center"/>
        <w:rPr>
          <w:rFonts w:cs="Narkisim"/>
          <w:rtl/>
          <w:lang w:val="de-DE"/>
        </w:rPr>
      </w:pPr>
    </w:p>
    <w:p w:rsidR="008F383B" w:rsidRDefault="008F383B" w:rsidP="008F383B">
      <w:pPr>
        <w:bidi/>
        <w:spacing w:line="360" w:lineRule="auto"/>
        <w:jc w:val="center"/>
        <w:rPr>
          <w:rFonts w:cs="Narkisim"/>
          <w:rtl/>
          <w:lang w:val="de-DE"/>
        </w:rPr>
      </w:pPr>
    </w:p>
    <w:p w:rsidR="008F383B" w:rsidRDefault="008F383B" w:rsidP="008F383B">
      <w:pPr>
        <w:bidi/>
        <w:spacing w:line="360" w:lineRule="auto"/>
        <w:jc w:val="both"/>
        <w:rPr>
          <w:rFonts w:cs="Narkisim"/>
          <w:rtl/>
        </w:rPr>
      </w:pPr>
      <w:r>
        <w:rPr>
          <w:rFonts w:cs="Narkisim" w:hint="cs"/>
          <w:b/>
          <w:bCs/>
          <w:rtl/>
        </w:rPr>
        <w:t xml:space="preserve">תיאור הסמינר: </w:t>
      </w:r>
      <w:r>
        <w:rPr>
          <w:rFonts w:cs="Narkisim" w:hint="cs"/>
          <w:rtl/>
        </w:rPr>
        <w:t xml:space="preserve">המסה 'מעבר לטוב ולרוע' מהווה ציר מרכזי בהגותו הפילוסופית של ניטשה. כאן פורש ניטשה את עיקרי הגותו, הן על </w:t>
      </w:r>
      <w:proofErr w:type="spellStart"/>
      <w:r>
        <w:rPr>
          <w:rFonts w:cs="Narkisim" w:hint="cs"/>
          <w:rtl/>
        </w:rPr>
        <w:t>נדבכיה</w:t>
      </w:r>
      <w:proofErr w:type="spellEnd"/>
      <w:r>
        <w:rPr>
          <w:rFonts w:cs="Narkisim" w:hint="cs"/>
          <w:rtl/>
        </w:rPr>
        <w:t xml:space="preserve"> הביקורתיים-</w:t>
      </w:r>
      <w:proofErr w:type="spellStart"/>
      <w:r>
        <w:rPr>
          <w:rFonts w:cs="Narkisim" w:hint="cs"/>
          <w:rtl/>
        </w:rPr>
        <w:t>שוללניים</w:t>
      </w:r>
      <w:proofErr w:type="spellEnd"/>
      <w:r>
        <w:rPr>
          <w:rFonts w:cs="Narkisim" w:hint="cs"/>
          <w:rtl/>
        </w:rPr>
        <w:t xml:space="preserve"> והן על </w:t>
      </w:r>
      <w:proofErr w:type="spellStart"/>
      <w:r>
        <w:rPr>
          <w:rFonts w:cs="Narkisim" w:hint="cs"/>
          <w:rtl/>
        </w:rPr>
        <w:t>נדבכיה</w:t>
      </w:r>
      <w:proofErr w:type="spellEnd"/>
      <w:r>
        <w:rPr>
          <w:rFonts w:cs="Narkisim" w:hint="cs"/>
          <w:rtl/>
        </w:rPr>
        <w:t xml:space="preserve"> הפוזיטיביים. כאן נפרשת בפרוטרוט ביקורתו על תולדות הפילוסופיה, הדת והמוסר ובד-בבד מותווית תפישתו על-אודות הפרט המיוחד האציל ו'הרוח החופשי'. </w:t>
      </w:r>
    </w:p>
    <w:p w:rsidR="008F383B" w:rsidRDefault="008F383B" w:rsidP="008F383B">
      <w:pPr>
        <w:bidi/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בשיעור זה נדון, אם כן, במכלול המחשבה </w:t>
      </w:r>
      <w:proofErr w:type="spellStart"/>
      <w:r>
        <w:rPr>
          <w:rFonts w:cs="Narkisim" w:hint="cs"/>
          <w:rtl/>
        </w:rPr>
        <w:t>הניטשיאנית</w:t>
      </w:r>
      <w:proofErr w:type="spellEnd"/>
      <w:r>
        <w:rPr>
          <w:rFonts w:cs="Narkisim" w:hint="cs"/>
          <w:rtl/>
        </w:rPr>
        <w:t xml:space="preserve">, על היבטיה הנגטיביים והפוזיטיביים, נעקוב אחר מהלך השלילה </w:t>
      </w:r>
      <w:proofErr w:type="spellStart"/>
      <w:r>
        <w:rPr>
          <w:rFonts w:cs="Narkisim" w:hint="cs"/>
          <w:rtl/>
        </w:rPr>
        <w:t>הניטשיאני</w:t>
      </w:r>
      <w:proofErr w:type="spellEnd"/>
      <w:r>
        <w:rPr>
          <w:rFonts w:cs="Narkisim" w:hint="cs"/>
          <w:rtl/>
        </w:rPr>
        <w:t xml:space="preserve"> ונבחן כיצד זה מובילו לבסוף אלי גיבוש תפישה פילוסופית ברורה ושלמה.</w:t>
      </w:r>
    </w:p>
    <w:p w:rsidR="008F383B" w:rsidRDefault="008F383B" w:rsidP="008F383B">
      <w:pPr>
        <w:bidi/>
        <w:spacing w:line="360" w:lineRule="auto"/>
        <w:jc w:val="both"/>
        <w:rPr>
          <w:rFonts w:cs="Narkisim"/>
          <w:b/>
          <w:bCs/>
          <w:rtl/>
          <w:lang w:val="de-DE"/>
        </w:rPr>
      </w:pPr>
      <w:r>
        <w:rPr>
          <w:rFonts w:cs="Narkisim" w:hint="cs"/>
          <w:rtl/>
        </w:rPr>
        <w:t xml:space="preserve">השיעור יתנהל במתכונת של קריאה מודרכת בחלקים נרחבים של הטקסט, דיון ורפרטים. </w:t>
      </w:r>
    </w:p>
    <w:p w:rsidR="008F383B" w:rsidRDefault="008F383B" w:rsidP="008F383B">
      <w:pPr>
        <w:bidi/>
        <w:spacing w:line="360" w:lineRule="auto"/>
        <w:jc w:val="both"/>
        <w:rPr>
          <w:rFonts w:cs="Narkisim"/>
          <w:b/>
          <w:bCs/>
          <w:rtl/>
          <w:lang w:val="de-DE"/>
        </w:rPr>
      </w:pPr>
    </w:p>
    <w:p w:rsidR="008F383B" w:rsidRDefault="008F383B" w:rsidP="008F383B">
      <w:pPr>
        <w:bidi/>
        <w:spacing w:line="360" w:lineRule="auto"/>
        <w:jc w:val="both"/>
        <w:rPr>
          <w:rFonts w:cs="Narkisim"/>
          <w:rtl/>
          <w:lang w:val="de-DE"/>
        </w:rPr>
      </w:pPr>
      <w:r>
        <w:rPr>
          <w:rFonts w:cs="Narkisim" w:hint="cs"/>
          <w:b/>
          <w:bCs/>
          <w:rtl/>
          <w:lang w:val="de-DE"/>
        </w:rPr>
        <w:t xml:space="preserve">ציון בקורס: </w:t>
      </w:r>
      <w:r>
        <w:rPr>
          <w:rFonts w:cs="Narkisim" w:hint="cs"/>
          <w:rtl/>
          <w:lang w:val="de-DE"/>
        </w:rPr>
        <w:t>רפרטים שיוגשו בכיתה (10%) ועבודת סמינר (90%).</w:t>
      </w:r>
    </w:p>
    <w:p w:rsidR="008F383B" w:rsidRDefault="008F383B" w:rsidP="008F383B">
      <w:pPr>
        <w:bidi/>
        <w:spacing w:line="360" w:lineRule="auto"/>
        <w:jc w:val="both"/>
        <w:rPr>
          <w:rFonts w:cs="Narkisim"/>
          <w:rtl/>
          <w:lang w:val="de-DE"/>
        </w:rPr>
      </w:pPr>
    </w:p>
    <w:p w:rsidR="008F383B" w:rsidRDefault="008F383B" w:rsidP="008F383B">
      <w:pPr>
        <w:bidi/>
        <w:spacing w:line="360" w:lineRule="auto"/>
        <w:jc w:val="both"/>
        <w:rPr>
          <w:rFonts w:cs="Narkisim"/>
          <w:b/>
          <w:bCs/>
          <w:rtl/>
          <w:lang w:val="de-DE"/>
        </w:rPr>
      </w:pPr>
      <w:r w:rsidRPr="008F383B">
        <w:rPr>
          <w:rFonts w:cs="Narkisim" w:hint="cs"/>
          <w:b/>
          <w:bCs/>
          <w:rtl/>
          <w:lang w:val="de-DE"/>
        </w:rPr>
        <w:t>נושאי השיעור:</w:t>
      </w:r>
    </w:p>
    <w:p w:rsidR="008F383B" w:rsidRPr="008322D7" w:rsidRDefault="008F383B" w:rsidP="008F383B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cs="Narkisim"/>
          <w:lang w:val="de-DE"/>
        </w:rPr>
      </w:pPr>
      <w:r w:rsidRPr="008322D7">
        <w:rPr>
          <w:rFonts w:cs="Narkisim" w:hint="cs"/>
          <w:rtl/>
          <w:lang w:val="de-DE"/>
        </w:rPr>
        <w:t>ביקורתו של ניטשה על תולדות הפילוסופיה</w:t>
      </w:r>
    </w:p>
    <w:p w:rsidR="008F383B" w:rsidRPr="008322D7" w:rsidRDefault="008F383B" w:rsidP="008F383B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cs="Narkisim"/>
          <w:lang w:val="de-DE"/>
        </w:rPr>
      </w:pPr>
      <w:r w:rsidRPr="008322D7">
        <w:rPr>
          <w:rFonts w:cs="Narkisim" w:hint="cs"/>
          <w:rtl/>
          <w:lang w:val="de-DE"/>
        </w:rPr>
        <w:t>על כינונו של ה"פילוסוף החדש"</w:t>
      </w:r>
    </w:p>
    <w:p w:rsidR="008F383B" w:rsidRPr="008322D7" w:rsidRDefault="008F383B" w:rsidP="008F383B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cs="Narkisim"/>
          <w:lang w:val="de-DE"/>
        </w:rPr>
      </w:pPr>
      <w:r w:rsidRPr="008322D7">
        <w:rPr>
          <w:rFonts w:cs="Narkisim" w:hint="cs"/>
          <w:rtl/>
          <w:lang w:val="de-DE"/>
        </w:rPr>
        <w:t>ביקורת הדת של ניטשה</w:t>
      </w:r>
    </w:p>
    <w:p w:rsidR="008F383B" w:rsidRPr="008322D7" w:rsidRDefault="008F383B" w:rsidP="008F383B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cs="Narkisim"/>
          <w:lang w:val="de-DE"/>
        </w:rPr>
      </w:pPr>
      <w:r w:rsidRPr="008322D7">
        <w:rPr>
          <w:rFonts w:cs="Narkisim" w:hint="cs"/>
          <w:rtl/>
          <w:lang w:val="de-DE"/>
        </w:rPr>
        <w:t>ביקורת המוסר של ניטשה</w:t>
      </w:r>
    </w:p>
    <w:p w:rsidR="007F77CA" w:rsidRDefault="007F77CA" w:rsidP="007F77CA">
      <w:pPr>
        <w:bidi/>
        <w:spacing w:line="360" w:lineRule="auto"/>
        <w:jc w:val="both"/>
        <w:rPr>
          <w:rFonts w:cs="Narkisim"/>
          <w:b/>
          <w:bCs/>
          <w:rtl/>
          <w:lang w:val="de-DE"/>
        </w:rPr>
      </w:pPr>
    </w:p>
    <w:p w:rsidR="007F77CA" w:rsidRDefault="007F77CA" w:rsidP="007F77CA">
      <w:pPr>
        <w:bidi/>
        <w:spacing w:line="360" w:lineRule="auto"/>
        <w:jc w:val="both"/>
        <w:rPr>
          <w:rFonts w:cs="Narkisim"/>
          <w:b/>
          <w:bCs/>
          <w:rtl/>
          <w:lang w:val="de-DE"/>
        </w:rPr>
      </w:pPr>
    </w:p>
    <w:p w:rsidR="007F77CA" w:rsidRDefault="007F77CA" w:rsidP="007F77CA">
      <w:pPr>
        <w:bidi/>
        <w:spacing w:line="360" w:lineRule="auto"/>
        <w:jc w:val="both"/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t>רשימת קריאה ראשונית של ספרות משנית:</w:t>
      </w:r>
    </w:p>
    <w:p w:rsidR="007F77CA" w:rsidRPr="0055542D" w:rsidRDefault="007F77CA" w:rsidP="007F77CA">
      <w:pPr>
        <w:pStyle w:val="a4"/>
        <w:spacing w:line="360" w:lineRule="auto"/>
        <w:ind w:left="720" w:hanging="720"/>
        <w:jc w:val="both"/>
        <w:rPr>
          <w:rFonts w:cs="David"/>
        </w:rPr>
      </w:pPr>
      <w:proofErr w:type="spellStart"/>
      <w:r w:rsidRPr="0055542D">
        <w:rPr>
          <w:rFonts w:cs="David"/>
          <w:lang w:val="en-US"/>
        </w:rPr>
        <w:t>Goedert</w:t>
      </w:r>
      <w:proofErr w:type="spellEnd"/>
      <w:r w:rsidRPr="0055542D">
        <w:rPr>
          <w:rFonts w:cs="David"/>
          <w:lang w:val="en-US"/>
        </w:rPr>
        <w:t xml:space="preserve">, G., The Dionysian Theodicy, in: </w:t>
      </w:r>
      <w:r w:rsidRPr="0055542D">
        <w:rPr>
          <w:rFonts w:cs="David"/>
        </w:rPr>
        <w:t>J</w:t>
      </w:r>
      <w:r>
        <w:rPr>
          <w:rFonts w:cs="David"/>
        </w:rPr>
        <w:t>.</w:t>
      </w:r>
      <w:r w:rsidRPr="0055542D">
        <w:rPr>
          <w:rFonts w:cs="David"/>
        </w:rPr>
        <w:t>C. O’Flaherty, T</w:t>
      </w:r>
      <w:r>
        <w:rPr>
          <w:rFonts w:cs="David"/>
        </w:rPr>
        <w:t>.</w:t>
      </w:r>
      <w:r w:rsidRPr="0055542D">
        <w:rPr>
          <w:rFonts w:cs="David"/>
        </w:rPr>
        <w:t xml:space="preserve">F. </w:t>
      </w:r>
      <w:proofErr w:type="spellStart"/>
      <w:r w:rsidRPr="0055542D">
        <w:rPr>
          <w:rFonts w:cs="David"/>
        </w:rPr>
        <w:t>Sellner</w:t>
      </w:r>
      <w:proofErr w:type="spellEnd"/>
      <w:r w:rsidRPr="0055542D">
        <w:rPr>
          <w:rFonts w:cs="David"/>
        </w:rPr>
        <w:t xml:space="preserve">, </w:t>
      </w:r>
      <w:r>
        <w:rPr>
          <w:rFonts w:cs="David"/>
        </w:rPr>
        <w:t xml:space="preserve">&amp; </w:t>
      </w:r>
      <w:r w:rsidRPr="0055542D">
        <w:rPr>
          <w:rFonts w:cs="David"/>
        </w:rPr>
        <w:t>R</w:t>
      </w:r>
      <w:r>
        <w:rPr>
          <w:rFonts w:cs="David"/>
        </w:rPr>
        <w:t>.</w:t>
      </w:r>
      <w:r w:rsidRPr="0055542D">
        <w:rPr>
          <w:rFonts w:cs="David"/>
        </w:rPr>
        <w:t>M. Helm</w:t>
      </w:r>
      <w:r>
        <w:rPr>
          <w:rFonts w:cs="David"/>
        </w:rPr>
        <w:t>,</w:t>
      </w:r>
      <w:r w:rsidRPr="0055542D">
        <w:rPr>
          <w:rFonts w:cs="David"/>
          <w:lang w:val="en-US"/>
        </w:rPr>
        <w:t xml:space="preserve"> eds</w:t>
      </w:r>
      <w:r>
        <w:rPr>
          <w:rFonts w:cs="David"/>
          <w:lang w:val="en-US"/>
        </w:rPr>
        <w:t>.</w:t>
      </w:r>
      <w:r w:rsidRPr="0055542D">
        <w:rPr>
          <w:rFonts w:cs="David"/>
          <w:lang w:val="en-US"/>
        </w:rPr>
        <w:t xml:space="preserve">, </w:t>
      </w:r>
      <w:r w:rsidRPr="0055542D">
        <w:rPr>
          <w:rFonts w:cs="David"/>
          <w:i/>
          <w:lang w:val="en-US"/>
        </w:rPr>
        <w:t>Studies in Nietzsche and the Judeo-Christian Tradition</w:t>
      </w:r>
      <w:r w:rsidRPr="0055542D">
        <w:rPr>
          <w:rFonts w:cs="David"/>
          <w:lang w:val="en-US"/>
        </w:rPr>
        <w:t>, Chapel Hill</w:t>
      </w:r>
      <w:r>
        <w:rPr>
          <w:rFonts w:cs="David"/>
          <w:lang w:val="en-US"/>
        </w:rPr>
        <w:t xml:space="preserve">, NC: </w:t>
      </w:r>
      <w:r w:rsidRPr="0055542D">
        <w:rPr>
          <w:rFonts w:cs="David"/>
          <w:lang w:val="en-US"/>
        </w:rPr>
        <w:t>University of North Carolina Press</w:t>
      </w:r>
      <w:r>
        <w:rPr>
          <w:rFonts w:cs="David"/>
          <w:lang w:val="en-US"/>
        </w:rPr>
        <w:t>, 1985</w:t>
      </w:r>
    </w:p>
    <w:p w:rsidR="007F77CA" w:rsidRPr="0055542D" w:rsidRDefault="007F77CA" w:rsidP="007F77CA">
      <w:pPr>
        <w:pStyle w:val="a4"/>
        <w:spacing w:line="360" w:lineRule="auto"/>
        <w:ind w:left="720" w:hanging="720"/>
        <w:jc w:val="both"/>
        <w:rPr>
          <w:rFonts w:cs="David"/>
        </w:rPr>
      </w:pPr>
      <w:proofErr w:type="spellStart"/>
      <w:r w:rsidRPr="00EB71C9">
        <w:rPr>
          <w:rFonts w:cs="David"/>
        </w:rPr>
        <w:t>Guay</w:t>
      </w:r>
      <w:proofErr w:type="spellEnd"/>
      <w:r w:rsidRPr="00EB71C9">
        <w:rPr>
          <w:rFonts w:cs="David"/>
        </w:rPr>
        <w:t xml:space="preserve">, R., "Nietzsche on Freedom", </w:t>
      </w:r>
      <w:r w:rsidRPr="00EB71C9">
        <w:rPr>
          <w:rFonts w:cs="David"/>
          <w:i/>
        </w:rPr>
        <w:t>European journal of Philosophy</w:t>
      </w:r>
      <w:r w:rsidRPr="00EB71C9">
        <w:rPr>
          <w:rFonts w:cs="David"/>
        </w:rPr>
        <w:t>, 10, 2002: 302–27</w:t>
      </w:r>
    </w:p>
    <w:p w:rsidR="007F77CA" w:rsidRPr="0055542D" w:rsidRDefault="007F77CA" w:rsidP="007F77CA">
      <w:pPr>
        <w:pStyle w:val="a4"/>
        <w:spacing w:line="360" w:lineRule="auto"/>
        <w:ind w:left="720" w:hanging="720"/>
        <w:jc w:val="both"/>
        <w:rPr>
          <w:rFonts w:cs="David"/>
        </w:rPr>
      </w:pPr>
      <w:r w:rsidRPr="0055542D">
        <w:rPr>
          <w:rFonts w:cs="David"/>
        </w:rPr>
        <w:t xml:space="preserve">Hayman, R., </w:t>
      </w:r>
      <w:r w:rsidRPr="0055542D">
        <w:rPr>
          <w:rFonts w:cs="David"/>
          <w:i/>
        </w:rPr>
        <w:t xml:space="preserve">Nietzsche: A </w:t>
      </w:r>
      <w:r w:rsidRPr="00F939D1">
        <w:rPr>
          <w:rFonts w:cs="ed"/>
          <w:i/>
        </w:rPr>
        <w:t>Critical</w:t>
      </w:r>
      <w:r w:rsidRPr="0055542D">
        <w:rPr>
          <w:rFonts w:cs="David"/>
          <w:i/>
        </w:rPr>
        <w:t xml:space="preserve"> Life</w:t>
      </w:r>
      <w:r w:rsidRPr="0055542D">
        <w:rPr>
          <w:rFonts w:cs="David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cs="David"/>
            </w:rPr>
            <w:t>London</w:t>
          </w:r>
        </w:smartTag>
      </w:smartTag>
      <w:r>
        <w:rPr>
          <w:rFonts w:cs="David"/>
        </w:rPr>
        <w:t xml:space="preserve">: </w:t>
      </w:r>
      <w:proofErr w:type="spellStart"/>
      <w:r w:rsidRPr="0055542D">
        <w:rPr>
          <w:rFonts w:cs="David"/>
        </w:rPr>
        <w:t>Weidenfeld</w:t>
      </w:r>
      <w:proofErr w:type="spellEnd"/>
      <w:r w:rsidRPr="0055542D">
        <w:rPr>
          <w:rFonts w:cs="David"/>
        </w:rPr>
        <w:t xml:space="preserve"> </w:t>
      </w:r>
      <w:r>
        <w:rPr>
          <w:rFonts w:cs="David"/>
        </w:rPr>
        <w:t xml:space="preserve">&amp; </w:t>
      </w:r>
      <w:r w:rsidRPr="0055542D">
        <w:rPr>
          <w:rFonts w:cs="David"/>
        </w:rPr>
        <w:t>Nicolson, 1980</w:t>
      </w:r>
    </w:p>
    <w:p w:rsidR="007F77CA" w:rsidRPr="0055542D" w:rsidRDefault="007F77CA" w:rsidP="007F77CA">
      <w:pPr>
        <w:pStyle w:val="a4"/>
        <w:spacing w:line="360" w:lineRule="auto"/>
        <w:ind w:left="720" w:hanging="720"/>
        <w:jc w:val="both"/>
        <w:rPr>
          <w:rFonts w:cs="David"/>
        </w:rPr>
      </w:pPr>
      <w:r w:rsidRPr="0055542D">
        <w:rPr>
          <w:rFonts w:cs="David"/>
        </w:rPr>
        <w:t>Hunt, L</w:t>
      </w:r>
      <w:r>
        <w:rPr>
          <w:rFonts w:cs="David"/>
        </w:rPr>
        <w:t>.</w:t>
      </w:r>
      <w:r w:rsidRPr="0055542D">
        <w:rPr>
          <w:rFonts w:cs="David"/>
        </w:rPr>
        <w:t xml:space="preserve">H., </w:t>
      </w:r>
      <w:r w:rsidRPr="0055542D">
        <w:rPr>
          <w:rFonts w:cs="David"/>
          <w:i/>
        </w:rPr>
        <w:t>Nietzsche and the Origin of Virtue</w:t>
      </w:r>
      <w:r w:rsidRPr="0055542D">
        <w:rPr>
          <w:rFonts w:cs="David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cs="David"/>
            </w:rPr>
            <w:t>London</w:t>
          </w:r>
        </w:smartTag>
      </w:smartTag>
      <w:r>
        <w:rPr>
          <w:rFonts w:cs="David"/>
        </w:rPr>
        <w:t xml:space="preserve">: </w:t>
      </w:r>
      <w:r w:rsidRPr="0055542D">
        <w:rPr>
          <w:rFonts w:cs="David"/>
        </w:rPr>
        <w:t>Routledge, 1991</w:t>
      </w:r>
    </w:p>
    <w:p w:rsidR="007F77CA" w:rsidRPr="00F939D1" w:rsidRDefault="007F77CA" w:rsidP="007F77CA">
      <w:pPr>
        <w:pStyle w:val="a4"/>
        <w:spacing w:line="360" w:lineRule="auto"/>
        <w:ind w:left="1440" w:hanging="1440"/>
        <w:jc w:val="both"/>
        <w:rPr>
          <w:rFonts w:cs="David"/>
        </w:rPr>
      </w:pPr>
      <w:r w:rsidRPr="00F939D1">
        <w:rPr>
          <w:rFonts w:cs="David"/>
          <w:lang w:val="en-US"/>
        </w:rPr>
        <w:t xml:space="preserve">Jaspers, K., </w:t>
      </w:r>
      <w:r w:rsidRPr="00F939D1">
        <w:rPr>
          <w:rFonts w:cs="David"/>
          <w:i/>
          <w:lang w:val="en-US"/>
        </w:rPr>
        <w:t>Nietzsche and Christianity</w:t>
      </w:r>
      <w:r w:rsidRPr="00F939D1">
        <w:rPr>
          <w:rFonts w:cs="David"/>
        </w:rPr>
        <w:t xml:space="preserve">, tr. </w:t>
      </w:r>
      <w:r w:rsidRPr="00F939D1">
        <w:t xml:space="preserve">E.B. Ashton, Chicago: Henry </w:t>
      </w:r>
      <w:proofErr w:type="spellStart"/>
      <w:r w:rsidRPr="00F939D1">
        <w:t>Regnery</w:t>
      </w:r>
      <w:proofErr w:type="spellEnd"/>
      <w:r w:rsidRPr="00F939D1">
        <w:t xml:space="preserve"> Co., 1961</w:t>
      </w:r>
    </w:p>
    <w:p w:rsidR="007F77CA" w:rsidRDefault="007F77CA" w:rsidP="007F77CA">
      <w:pPr>
        <w:pStyle w:val="a4"/>
        <w:spacing w:line="360" w:lineRule="auto"/>
        <w:ind w:left="720" w:hanging="720"/>
        <w:jc w:val="both"/>
        <w:rPr>
          <w:rFonts w:cs="David"/>
        </w:rPr>
      </w:pPr>
      <w:r>
        <w:rPr>
          <w:rFonts w:cs="David"/>
        </w:rPr>
        <w:t>–––––</w:t>
      </w:r>
      <w:r w:rsidRPr="0055542D">
        <w:rPr>
          <w:rFonts w:cs="David"/>
        </w:rPr>
        <w:t xml:space="preserve">, </w:t>
      </w:r>
      <w:r w:rsidRPr="0055542D">
        <w:rPr>
          <w:rFonts w:cs="David"/>
          <w:i/>
        </w:rPr>
        <w:t>Nietzsche: An Introduction to the Understanding of His Philosophical Activity</w:t>
      </w:r>
      <w:r w:rsidRPr="0055542D">
        <w:rPr>
          <w:rFonts w:cs="David"/>
        </w:rPr>
        <w:t xml:space="preserve">, </w:t>
      </w:r>
      <w:proofErr w:type="spellStart"/>
      <w:r w:rsidRPr="0055542D">
        <w:rPr>
          <w:rFonts w:cs="David"/>
        </w:rPr>
        <w:t>trs</w:t>
      </w:r>
      <w:proofErr w:type="spellEnd"/>
      <w:r w:rsidRPr="0055542D">
        <w:rPr>
          <w:rFonts w:cs="David"/>
        </w:rPr>
        <w:t>. C</w:t>
      </w:r>
      <w:r>
        <w:rPr>
          <w:rFonts w:cs="David"/>
        </w:rPr>
        <w:t>.</w:t>
      </w:r>
      <w:r w:rsidRPr="0055542D">
        <w:rPr>
          <w:rFonts w:cs="David"/>
        </w:rPr>
        <w:t xml:space="preserve">F. </w:t>
      </w:r>
      <w:proofErr w:type="spellStart"/>
      <w:r w:rsidRPr="0055542D">
        <w:rPr>
          <w:rFonts w:cs="David"/>
        </w:rPr>
        <w:t>Wallraff</w:t>
      </w:r>
      <w:proofErr w:type="spellEnd"/>
      <w:r w:rsidRPr="0055542D">
        <w:rPr>
          <w:rFonts w:cs="David"/>
        </w:rPr>
        <w:t xml:space="preserve"> </w:t>
      </w:r>
      <w:r>
        <w:rPr>
          <w:rFonts w:cs="David"/>
        </w:rPr>
        <w:t xml:space="preserve">&amp; </w:t>
      </w:r>
      <w:r w:rsidRPr="0055542D">
        <w:rPr>
          <w:rFonts w:cs="David"/>
        </w:rPr>
        <w:t>F</w:t>
      </w:r>
      <w:r>
        <w:rPr>
          <w:rFonts w:cs="David"/>
        </w:rPr>
        <w:t>.</w:t>
      </w:r>
      <w:r w:rsidRPr="0055542D">
        <w:rPr>
          <w:rFonts w:cs="David"/>
        </w:rPr>
        <w:t xml:space="preserve">J. Schmitz, </w:t>
      </w:r>
      <w:proofErr w:type="spellStart"/>
      <w:r>
        <w:rPr>
          <w:rFonts w:cs="David"/>
        </w:rPr>
        <w:t>Tuscon</w:t>
      </w:r>
      <w:proofErr w:type="spellEnd"/>
      <w:r>
        <w:rPr>
          <w:rFonts w:cs="David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55542D">
            <w:rPr>
              <w:rFonts w:cs="David"/>
            </w:rPr>
            <w:t>University</w:t>
          </w:r>
        </w:smartTag>
        <w:r w:rsidRPr="0055542D">
          <w:rPr>
            <w:rFonts w:cs="David"/>
          </w:rPr>
          <w:t xml:space="preserve"> of </w:t>
        </w:r>
        <w:smartTag w:uri="urn:schemas-microsoft-com:office:smarttags" w:element="PlaceName">
          <w:r w:rsidRPr="0055542D">
            <w:rPr>
              <w:rFonts w:cs="David"/>
            </w:rPr>
            <w:t>Arizona</w:t>
          </w:r>
        </w:smartTag>
      </w:smartTag>
      <w:r w:rsidRPr="0055542D">
        <w:rPr>
          <w:rFonts w:cs="David"/>
        </w:rPr>
        <w:t xml:space="preserve"> Press, 1965.</w:t>
      </w:r>
    </w:p>
    <w:p w:rsidR="007F77CA" w:rsidRPr="0055542D" w:rsidRDefault="007F77CA" w:rsidP="007F77CA">
      <w:pPr>
        <w:pStyle w:val="a4"/>
        <w:spacing w:line="360" w:lineRule="auto"/>
        <w:ind w:left="720" w:hanging="720"/>
        <w:jc w:val="both"/>
        <w:rPr>
          <w:rFonts w:cs="David"/>
          <w:lang w:val="de-DE"/>
        </w:rPr>
      </w:pPr>
      <w:r w:rsidRPr="0055542D">
        <w:rPr>
          <w:rFonts w:cs="David"/>
          <w:lang w:val="en-US"/>
        </w:rPr>
        <w:t xml:space="preserve">Kaufmann, W., </w:t>
      </w:r>
      <w:r w:rsidRPr="0055542D">
        <w:rPr>
          <w:rFonts w:cs="David"/>
          <w:i/>
          <w:lang w:val="en-US"/>
        </w:rPr>
        <w:t>Nietzsche: Philosopher, P</w:t>
      </w:r>
      <w:r w:rsidRPr="0055542D">
        <w:rPr>
          <w:rFonts w:cs="David"/>
          <w:i/>
          <w:lang w:val="de-DE"/>
        </w:rPr>
        <w:t>sychologist, Antichrist</w:t>
      </w:r>
      <w:r w:rsidRPr="0055542D">
        <w:rPr>
          <w:rFonts w:cs="David"/>
          <w:lang w:val="de-DE"/>
        </w:rPr>
        <w:t xml:space="preserve">, </w:t>
      </w:r>
      <w:smartTag w:uri="urn:schemas-microsoft-com:office:smarttags" w:element="City">
        <w:r w:rsidRPr="0055542D">
          <w:rPr>
            <w:rFonts w:cs="David"/>
            <w:lang w:val="de-DE"/>
          </w:rPr>
          <w:t>Princeton</w:t>
        </w:r>
      </w:smartTag>
      <w:r w:rsidRPr="0055542D">
        <w:rPr>
          <w:rFonts w:cs="David"/>
          <w:lang w:val="de-DE"/>
        </w:rPr>
        <w:t xml:space="preserve">, </w:t>
      </w:r>
      <w:smartTag w:uri="urn:schemas-microsoft-com:office:smarttags" w:element="State">
        <w:r w:rsidRPr="0055542D">
          <w:rPr>
            <w:rFonts w:cs="David"/>
            <w:lang w:val="de-DE"/>
          </w:rPr>
          <w:t>NJ</w:t>
        </w:r>
      </w:smartTag>
      <w:r>
        <w:rPr>
          <w:rFonts w:cs="David"/>
          <w:lang w:val="de-DE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cs="David"/>
              <w:lang w:val="de-DE"/>
            </w:rPr>
            <w:t>Princeton</w:t>
          </w:r>
        </w:smartTag>
        <w:r>
          <w:rPr>
            <w:rFonts w:cs="David"/>
            <w:lang w:val="de-DE"/>
          </w:rPr>
          <w:t xml:space="preserve"> </w:t>
        </w:r>
        <w:smartTag w:uri="urn:schemas-microsoft-com:office:smarttags" w:element="PlaceType">
          <w:r>
            <w:rPr>
              <w:rFonts w:cs="David"/>
              <w:lang w:val="de-DE"/>
            </w:rPr>
            <w:t>University</w:t>
          </w:r>
        </w:smartTag>
      </w:smartTag>
      <w:r>
        <w:rPr>
          <w:rFonts w:cs="David"/>
          <w:lang w:val="de-DE"/>
        </w:rPr>
        <w:t xml:space="preserve"> Press</w:t>
      </w:r>
      <w:r w:rsidRPr="0055542D">
        <w:rPr>
          <w:rFonts w:cs="David"/>
          <w:lang w:val="de-DE"/>
        </w:rPr>
        <w:t>, 1974</w:t>
      </w:r>
    </w:p>
    <w:p w:rsidR="007F77CA" w:rsidRPr="0055542D" w:rsidRDefault="007F77CA" w:rsidP="007F77CA">
      <w:pPr>
        <w:pStyle w:val="a4"/>
        <w:spacing w:line="360" w:lineRule="auto"/>
        <w:ind w:left="720" w:hanging="720"/>
        <w:jc w:val="both"/>
        <w:rPr>
          <w:rFonts w:cs="David"/>
        </w:rPr>
      </w:pPr>
      <w:r w:rsidRPr="0055542D">
        <w:rPr>
          <w:rFonts w:cs="David"/>
        </w:rPr>
        <w:t xml:space="preserve"> </w:t>
      </w:r>
      <w:r w:rsidRPr="0055542D">
        <w:rPr>
          <w:rFonts w:cs="David"/>
          <w:lang w:val="en-US"/>
        </w:rPr>
        <w:t xml:space="preserve"> </w:t>
      </w:r>
    </w:p>
    <w:p w:rsidR="007F77CA" w:rsidRPr="007F77CA" w:rsidRDefault="007F77CA" w:rsidP="007F77CA">
      <w:pPr>
        <w:spacing w:line="360" w:lineRule="auto"/>
        <w:jc w:val="both"/>
        <w:rPr>
          <w:rFonts w:cs="Narkisim"/>
          <w:b/>
          <w:bCs/>
          <w:lang w:val="en-GB"/>
        </w:rPr>
      </w:pPr>
    </w:p>
    <w:p w:rsidR="007F77CA" w:rsidRPr="0055542D" w:rsidRDefault="007F77CA" w:rsidP="007F77CA">
      <w:pPr>
        <w:pStyle w:val="a4"/>
        <w:spacing w:line="360" w:lineRule="auto"/>
        <w:ind w:left="720" w:hanging="720"/>
        <w:jc w:val="both"/>
        <w:rPr>
          <w:rFonts w:cs="David"/>
          <w:lang w:val="de-DE"/>
        </w:rPr>
      </w:pPr>
      <w:proofErr w:type="spellStart"/>
      <w:r w:rsidRPr="0055542D">
        <w:rPr>
          <w:rFonts w:cs="David"/>
        </w:rPr>
        <w:lastRenderedPageBreak/>
        <w:t>Reginster</w:t>
      </w:r>
      <w:proofErr w:type="spellEnd"/>
      <w:r w:rsidRPr="0055542D">
        <w:rPr>
          <w:rFonts w:cs="David"/>
        </w:rPr>
        <w:t xml:space="preserve">, B., "What is a Free Spirit? </w:t>
      </w:r>
      <w:r w:rsidRPr="0055542D">
        <w:rPr>
          <w:rFonts w:cs="David"/>
          <w:lang w:val="de-DE"/>
        </w:rPr>
        <w:t xml:space="preserve">Nietzsche on Fanaticism", </w:t>
      </w:r>
      <w:r>
        <w:rPr>
          <w:rFonts w:cs="David"/>
          <w:i/>
          <w:iCs/>
          <w:lang w:val="de-DE"/>
        </w:rPr>
        <w:t>Archiv fü</w:t>
      </w:r>
      <w:r w:rsidRPr="002210DC">
        <w:rPr>
          <w:rFonts w:cs="David"/>
          <w:i/>
          <w:iCs/>
          <w:lang w:val="de-DE"/>
        </w:rPr>
        <w:t xml:space="preserve">r </w:t>
      </w:r>
      <w:r>
        <w:rPr>
          <w:rFonts w:cs="David"/>
          <w:i/>
          <w:iCs/>
          <w:lang w:val="de-DE"/>
        </w:rPr>
        <w:t>G</w:t>
      </w:r>
      <w:r w:rsidRPr="002210DC">
        <w:rPr>
          <w:rFonts w:cs="David"/>
          <w:i/>
          <w:iCs/>
          <w:lang w:val="de-DE"/>
        </w:rPr>
        <w:t>eschichte der Philosophie</w:t>
      </w:r>
      <w:r w:rsidRPr="0055542D">
        <w:rPr>
          <w:rFonts w:cs="David"/>
          <w:lang w:val="de-DE"/>
        </w:rPr>
        <w:t xml:space="preserve">, </w:t>
      </w:r>
      <w:r>
        <w:rPr>
          <w:rFonts w:cs="David"/>
          <w:lang w:val="de-DE"/>
        </w:rPr>
        <w:t xml:space="preserve"> </w:t>
      </w:r>
      <w:r w:rsidRPr="0055542D">
        <w:rPr>
          <w:rFonts w:cs="David"/>
          <w:lang w:val="de-DE"/>
        </w:rPr>
        <w:t>85</w:t>
      </w:r>
      <w:r>
        <w:rPr>
          <w:rFonts w:cs="David"/>
          <w:lang w:val="de-DE"/>
        </w:rPr>
        <w:t>/1</w:t>
      </w:r>
      <w:r w:rsidRPr="0055542D">
        <w:rPr>
          <w:rFonts w:cs="David"/>
          <w:lang w:val="de-DE"/>
        </w:rPr>
        <w:t>, 2003</w:t>
      </w:r>
      <w:r>
        <w:rPr>
          <w:rFonts w:cs="David"/>
          <w:lang w:val="de-DE"/>
        </w:rPr>
        <w:t>: 51–85</w:t>
      </w:r>
    </w:p>
    <w:p w:rsidR="007F77CA" w:rsidRPr="0055542D" w:rsidRDefault="007F77CA" w:rsidP="007F77CA">
      <w:pPr>
        <w:pStyle w:val="a4"/>
        <w:spacing w:line="360" w:lineRule="auto"/>
        <w:ind w:left="720" w:hanging="720"/>
        <w:jc w:val="both"/>
        <w:rPr>
          <w:rFonts w:cs="David"/>
          <w:rtl/>
          <w:lang w:val="de-DE"/>
        </w:rPr>
      </w:pPr>
      <w:r w:rsidRPr="0055542D">
        <w:rPr>
          <w:rFonts w:cs="David"/>
        </w:rPr>
        <w:t>White, R</w:t>
      </w:r>
      <w:r>
        <w:rPr>
          <w:rFonts w:cs="David"/>
        </w:rPr>
        <w:t>.</w:t>
      </w:r>
      <w:r w:rsidRPr="0055542D">
        <w:rPr>
          <w:rFonts w:cs="David"/>
        </w:rPr>
        <w:t xml:space="preserve">J., </w:t>
      </w:r>
      <w:r w:rsidRPr="0055542D">
        <w:rPr>
          <w:rFonts w:cs="David"/>
          <w:i/>
        </w:rPr>
        <w:t>Nietzsche and the Problem of Sovereignty</w:t>
      </w:r>
      <w:r w:rsidRPr="0055542D">
        <w:rPr>
          <w:rFonts w:cs="David"/>
        </w:rPr>
        <w:t xml:space="preserve">, </w:t>
      </w:r>
      <w:smartTag w:uri="urn:schemas-microsoft-com:office:smarttags" w:element="City">
        <w:r w:rsidRPr="0055542D">
          <w:rPr>
            <w:rFonts w:cs="David"/>
          </w:rPr>
          <w:t>Urbana</w:t>
        </w:r>
      </w:smartTag>
      <w:r>
        <w:rPr>
          <w:rFonts w:cs="David"/>
        </w:rPr>
        <w:t xml:space="preserve">, </w:t>
      </w:r>
      <w:proofErr w:type="gramStart"/>
      <w:r>
        <w:rPr>
          <w:rFonts w:cs="David"/>
        </w:rPr>
        <w:t>IL.:</w:t>
      </w:r>
      <w:proofErr w:type="gramEnd"/>
      <w:r>
        <w:rPr>
          <w:rFonts w:cs="David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cs="David"/>
            </w:rPr>
            <w:t>University</w:t>
          </w:r>
        </w:smartTag>
        <w:r>
          <w:rPr>
            <w:rFonts w:cs="David"/>
          </w:rPr>
          <w:t xml:space="preserve"> of </w:t>
        </w:r>
        <w:smartTag w:uri="urn:schemas-microsoft-com:office:smarttags" w:element="PlaceName">
          <w:r>
            <w:rPr>
              <w:rFonts w:cs="David"/>
            </w:rPr>
            <w:t>Illinois</w:t>
          </w:r>
        </w:smartTag>
      </w:smartTag>
      <w:r>
        <w:rPr>
          <w:rFonts w:cs="David"/>
        </w:rPr>
        <w:t xml:space="preserve"> Press, </w:t>
      </w:r>
      <w:r w:rsidRPr="0055542D">
        <w:rPr>
          <w:rFonts w:cs="David"/>
        </w:rPr>
        <w:t>1997</w:t>
      </w:r>
    </w:p>
    <w:p w:rsidR="00B36D25" w:rsidRPr="007F77CA" w:rsidRDefault="00B36D25">
      <w:pPr>
        <w:rPr>
          <w:lang w:val="de-DE"/>
        </w:rPr>
      </w:pPr>
    </w:p>
    <w:sectPr w:rsidR="00B36D25" w:rsidRPr="007F77CA" w:rsidSect="00C97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69A3"/>
    <w:multiLevelType w:val="hybridMultilevel"/>
    <w:tmpl w:val="DDBE6E52"/>
    <w:lvl w:ilvl="0" w:tplc="9C92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3B"/>
    <w:rsid w:val="001178D7"/>
    <w:rsid w:val="007F77CA"/>
    <w:rsid w:val="008322D7"/>
    <w:rsid w:val="008F383B"/>
    <w:rsid w:val="00AB1ACB"/>
    <w:rsid w:val="00B36D25"/>
    <w:rsid w:val="00C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3B"/>
    <w:pPr>
      <w:ind w:left="720"/>
      <w:contextualSpacing/>
    </w:pPr>
  </w:style>
  <w:style w:type="paragraph" w:styleId="a4">
    <w:name w:val="footnote text"/>
    <w:basedOn w:val="a"/>
    <w:link w:val="a5"/>
    <w:semiHidden/>
    <w:rsid w:val="007F77CA"/>
    <w:rPr>
      <w:sz w:val="20"/>
      <w:szCs w:val="20"/>
      <w:lang w:val="en-GB" w:eastAsia="en-GB"/>
    </w:rPr>
  </w:style>
  <w:style w:type="character" w:customStyle="1" w:styleId="a5">
    <w:name w:val="טקסט הערת שוליים תו"/>
    <w:basedOn w:val="a0"/>
    <w:link w:val="a4"/>
    <w:semiHidden/>
    <w:rsid w:val="007F77CA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3B"/>
    <w:pPr>
      <w:ind w:left="720"/>
      <w:contextualSpacing/>
    </w:pPr>
  </w:style>
  <w:style w:type="paragraph" w:styleId="a4">
    <w:name w:val="footnote text"/>
    <w:basedOn w:val="a"/>
    <w:link w:val="a5"/>
    <w:semiHidden/>
    <w:rsid w:val="007F77CA"/>
    <w:rPr>
      <w:sz w:val="20"/>
      <w:szCs w:val="20"/>
      <w:lang w:val="en-GB" w:eastAsia="en-GB"/>
    </w:rPr>
  </w:style>
  <w:style w:type="character" w:customStyle="1" w:styleId="a5">
    <w:name w:val="טקסט הערת שוליים תו"/>
    <w:basedOn w:val="a0"/>
    <w:link w:val="a4"/>
    <w:semiHidden/>
    <w:rsid w:val="007F77CA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מירב בן שושן זך</cp:lastModifiedBy>
  <cp:revision>2</cp:revision>
  <dcterms:created xsi:type="dcterms:W3CDTF">2014-08-04T07:29:00Z</dcterms:created>
  <dcterms:modified xsi:type="dcterms:W3CDTF">2014-08-04T07:29:00Z</dcterms:modified>
</cp:coreProperties>
</file>