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6966C7" w:rsidRDefault="005C18E2" w:rsidP="001B13A5">
      <w:pPr>
        <w:bidi/>
        <w:spacing w:after="0" w:line="360" w:lineRule="auto"/>
        <w:ind w:left="44" w:right="284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המחלקה ל</w:t>
      </w:r>
      <w:r w:rsidR="001B13A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לשון העברית</w:t>
      </w:r>
    </w:p>
    <w:p w:rsidR="005C18E2" w:rsidRPr="006966C7" w:rsidRDefault="003D41A5" w:rsidP="003D41A5">
      <w:pPr>
        <w:numPr>
          <w:ilvl w:val="12"/>
          <w:numId w:val="0"/>
        </w:numPr>
        <w:bidi/>
        <w:spacing w:after="0" w:line="360" w:lineRule="auto"/>
        <w:ind w:left="-10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(סימן מחשב</w:t>
      </w:r>
      <w:r w:rsidR="005C18E2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1</w:t>
      </w:r>
      <w:r w:rsidR="001B13A5">
        <w:rPr>
          <w:rFonts w:ascii="Times New Roman" w:eastAsia="Times New Roman" w:hAnsi="Times New Roman" w:cs="David" w:hint="cs"/>
          <w:sz w:val="24"/>
          <w:szCs w:val="24"/>
          <w:rtl/>
        </w:rPr>
        <w:t>23</w:t>
      </w:r>
      <w:r w:rsidR="005C18E2" w:rsidRPr="006966C7">
        <w:rPr>
          <w:rFonts w:ascii="Times New Roman" w:eastAsia="Times New Roman" w:hAnsi="Times New Roman" w:cs="David" w:hint="cs"/>
          <w:sz w:val="24"/>
          <w:szCs w:val="24"/>
          <w:rtl/>
        </w:rPr>
        <w:t>)</w:t>
      </w:r>
    </w:p>
    <w:p w:rsidR="005C18E2" w:rsidRPr="006966C7" w:rsidRDefault="005C18E2" w:rsidP="005C18E2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</w:p>
    <w:p w:rsidR="005C18E2" w:rsidRDefault="00BA492A" w:rsidP="005C18E2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מטרת הלימודים</w:t>
      </w:r>
    </w:p>
    <w:p w:rsidR="001B13A5" w:rsidRPr="001B13A5" w:rsidRDefault="001B13A5" w:rsidP="001B13A5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1B13A5">
        <w:rPr>
          <w:rFonts w:ascii="Times New Roman" w:eastAsia="Times New Roman" w:hAnsi="Times New Roman" w:cs="David" w:hint="cs"/>
          <w:sz w:val="24"/>
          <w:szCs w:val="24"/>
          <w:rtl/>
        </w:rPr>
        <w:t>ל</w:t>
      </w:r>
      <w:r w:rsidR="007170A3">
        <w:rPr>
          <w:rFonts w:ascii="Times New Roman" w:eastAsia="Times New Roman" w:hAnsi="Times New Roman" w:cs="David" w:hint="cs"/>
          <w:sz w:val="24"/>
          <w:szCs w:val="24"/>
          <w:rtl/>
        </w:rPr>
        <w:t>ה</w:t>
      </w:r>
      <w:r w:rsidRPr="001B13A5">
        <w:rPr>
          <w:rFonts w:ascii="Times New Roman" w:eastAsia="Times New Roman" w:hAnsi="Times New Roman" w:cs="David" w:hint="cs"/>
          <w:sz w:val="24"/>
          <w:szCs w:val="24"/>
          <w:rtl/>
        </w:rPr>
        <w:t xml:space="preserve">קנות ידע בלשון העברית לתקופותיה ולתחומיה. </w:t>
      </w:r>
    </w:p>
    <w:p w:rsidR="001B13A5" w:rsidRPr="001B13A5" w:rsidRDefault="001B13A5" w:rsidP="001B13A5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1B13A5">
        <w:rPr>
          <w:rFonts w:ascii="Times New Roman" w:eastAsia="Times New Roman" w:hAnsi="Times New Roman" w:cs="David" w:hint="cs"/>
          <w:sz w:val="24"/>
          <w:szCs w:val="24"/>
          <w:rtl/>
        </w:rPr>
        <w:t>לתת לתלמידים כלים בלשניים ופילולוגיים למחקר העברית בזיקה ללשונות השמיות וללשונות מערביות בנות זמננו.</w:t>
      </w:r>
    </w:p>
    <w:p w:rsidR="001B13A5" w:rsidRPr="001B13A5" w:rsidRDefault="001B13A5" w:rsidP="007170A3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1B13A5">
        <w:rPr>
          <w:rFonts w:ascii="Times New Roman" w:eastAsia="Times New Roman" w:hAnsi="Times New Roman" w:cs="David" w:hint="cs"/>
          <w:sz w:val="24"/>
          <w:szCs w:val="24"/>
          <w:rtl/>
        </w:rPr>
        <w:t>להכשיר את התלמידים ללימודים מתקדמים, לרבות מחקר ועריכה לשונית (ראו תארים שני ושלישי)</w:t>
      </w:r>
      <w:r w:rsidR="00AB68DA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5C18E2" w:rsidRPr="006966C7" w:rsidRDefault="005C18E2" w:rsidP="005C18E2">
      <w:pPr>
        <w:numPr>
          <w:ilvl w:val="12"/>
          <w:numId w:val="0"/>
        </w:numPr>
        <w:bidi/>
        <w:spacing w:after="0" w:line="360" w:lineRule="auto"/>
        <w:ind w:left="990"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5C18E2" w:rsidRPr="006966C7" w:rsidRDefault="00502269" w:rsidP="00502269">
      <w:pPr>
        <w:numPr>
          <w:ilvl w:val="12"/>
          <w:numId w:val="0"/>
        </w:numPr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מבנה </w:t>
      </w:r>
      <w:r w:rsidR="005C18E2" w:rsidRPr="006966C7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הלימוד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ים</w:t>
      </w:r>
    </w:p>
    <w:p w:rsidR="00035165" w:rsidRPr="006966C7" w:rsidRDefault="00701F0F" w:rsidP="00717A4F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תכנית</w:t>
      </w:r>
      <w:r w:rsidR="00035165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717A4F" w:rsidRPr="006966C7">
        <w:rPr>
          <w:rFonts w:ascii="Times New Roman" w:eastAsia="Times New Roman" w:hAnsi="Times New Roman" w:cs="David" w:hint="cs"/>
          <w:sz w:val="24"/>
          <w:szCs w:val="24"/>
          <w:rtl/>
        </w:rPr>
        <w:t>דו-</w:t>
      </w:r>
      <w:r w:rsidR="00717A4F">
        <w:rPr>
          <w:rFonts w:ascii="Times New Roman" w:eastAsia="Times New Roman" w:hAnsi="Times New Roman" w:cs="David" w:hint="cs"/>
          <w:sz w:val="24"/>
          <w:szCs w:val="24"/>
          <w:rtl/>
        </w:rPr>
        <w:t>מחלקתית</w:t>
      </w:r>
    </w:p>
    <w:p w:rsidR="005C18E2" w:rsidRDefault="00701F0F" w:rsidP="00717A4F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תכנית </w:t>
      </w:r>
      <w:r w:rsidR="00717A4F">
        <w:rPr>
          <w:rFonts w:ascii="Times New Roman" w:eastAsia="Times New Roman" w:hAnsi="Times New Roman" w:cs="David" w:hint="cs"/>
          <w:sz w:val="24"/>
          <w:szCs w:val="24"/>
          <w:rtl/>
        </w:rPr>
        <w:t>מחלקה ראשית</w:t>
      </w:r>
    </w:p>
    <w:p w:rsidR="00356224" w:rsidRDefault="00356224" w:rsidP="00356224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חטיבת לימודים מורחבת</w:t>
      </w:r>
    </w:p>
    <w:p w:rsidR="00F55D75" w:rsidRDefault="00F55D75" w:rsidP="00F55D75">
      <w:pPr>
        <w:numPr>
          <w:ilvl w:val="12"/>
          <w:numId w:val="0"/>
        </w:numPr>
        <w:bidi/>
        <w:spacing w:after="0" w:line="360" w:lineRule="auto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Pr="00356224" w:rsidRDefault="007E7E04" w:rsidP="005A2E89">
      <w:pPr>
        <w:numPr>
          <w:ilvl w:val="0"/>
          <w:numId w:val="1"/>
        </w:numPr>
        <w:tabs>
          <w:tab w:val="num" w:pos="707"/>
        </w:tabs>
        <w:bidi/>
        <w:spacing w:after="0" w:line="360" w:lineRule="auto"/>
        <w:ind w:left="423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תכנית </w:t>
      </w:r>
      <w:r w:rsidR="00035165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הלימודים </w:t>
      </w:r>
      <w:r w:rsidR="006F76AC"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  <w:t>–</w:t>
      </w:r>
      <w:r w:rsidR="005A2E89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חטיבה </w:t>
      </w:r>
      <w:r w:rsidR="00035165" w:rsidRPr="00356224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(</w:t>
      </w:r>
      <w:r w:rsidR="00035165" w:rsidRPr="00356224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28 נק"ז)</w:t>
      </w:r>
    </w:p>
    <w:p w:rsidR="007E7E04" w:rsidRDefault="007E7E04" w:rsidP="00B17564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א'</w:t>
      </w:r>
    </w:p>
    <w:p w:rsidR="007E7E04" w:rsidRDefault="007E7E04" w:rsidP="00B1756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157"/>
        <w:gridCol w:w="1579"/>
        <w:gridCol w:w="1368"/>
      </w:tblGrid>
      <w:tr w:rsidR="007E7E04" w:rsidRPr="00BC11BF" w:rsidTr="00B61565"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שעות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מס' הקורס</w:t>
            </w:r>
          </w:p>
        </w:tc>
      </w:tr>
      <w:tr w:rsidR="00B74E20" w:rsidRPr="00BC11BF" w:rsidTr="00B61565">
        <w:tc>
          <w:tcPr>
            <w:tcW w:w="1368" w:type="dxa"/>
            <w:shd w:val="clear" w:color="auto" w:fill="auto"/>
            <w:vAlign w:val="center"/>
          </w:tcPr>
          <w:p w:rsidR="00B74E20" w:rsidRPr="00BC11BF" w:rsidRDefault="00B446FF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א'+ב'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Pr="00BC11BF" w:rsidRDefault="0098297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Default="008931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:rsidR="00893123" w:rsidRPr="00BC11BF" w:rsidRDefault="008931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Pr="00BC11BF" w:rsidRDefault="00B446FF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B74E20" w:rsidRDefault="008931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:rsidR="00893123" w:rsidRPr="00BC11BF" w:rsidRDefault="008931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74E20" w:rsidRPr="00BC11BF" w:rsidRDefault="00B74E20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 w:rsidRPr="00BC11BF">
              <w:rPr>
                <w:rFonts w:cs="David" w:hint="cs"/>
                <w:rtl/>
              </w:rPr>
              <w:t>ניקוד א', ב'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Pr="00BC11BF" w:rsidRDefault="006B51C2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123-1-1011+2331</w:t>
            </w:r>
          </w:p>
        </w:tc>
      </w:tr>
      <w:tr w:rsidR="00B74E20" w:rsidRPr="00BC11BF" w:rsidTr="00B61565">
        <w:tc>
          <w:tcPr>
            <w:tcW w:w="1368" w:type="dxa"/>
            <w:shd w:val="clear" w:color="auto" w:fill="auto"/>
            <w:vAlign w:val="center"/>
          </w:tcPr>
          <w:p w:rsidR="00B74E20" w:rsidRPr="00BC11BF" w:rsidRDefault="00B446FF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א'+ב'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Pr="00BC11BF" w:rsidRDefault="008D021A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Default="008931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:rsidR="00893123" w:rsidRPr="00BC11BF" w:rsidRDefault="008931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Pr="00BC11BF" w:rsidRDefault="00B446FF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B74E20" w:rsidRDefault="008931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:rsidR="00893123" w:rsidRPr="00BC11BF" w:rsidRDefault="008931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74E20" w:rsidRPr="00BC11BF" w:rsidRDefault="00B74E20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מבוא לדקדוק העברי א', ב'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Pr="00BC11BF" w:rsidRDefault="006B51C2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123-1-2571+2581</w:t>
            </w:r>
          </w:p>
        </w:tc>
      </w:tr>
      <w:tr w:rsidR="00B74E20" w:rsidRPr="00BC11BF" w:rsidTr="00B61565">
        <w:tc>
          <w:tcPr>
            <w:tcW w:w="1368" w:type="dxa"/>
            <w:shd w:val="clear" w:color="auto" w:fill="auto"/>
            <w:vAlign w:val="center"/>
          </w:tcPr>
          <w:p w:rsidR="00B74E20" w:rsidRPr="00BC11BF" w:rsidRDefault="008D021A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Pr="00BC11BF" w:rsidRDefault="008D021A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3123" w:rsidRPr="00BC11BF" w:rsidRDefault="008D021A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Pr="00BC11BF" w:rsidRDefault="008D021A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93123" w:rsidRPr="00BC11BF" w:rsidRDefault="008D021A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74E20" w:rsidRPr="00BC11BF" w:rsidRDefault="008D021A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יסודות התחביר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Pr="00BC11BF" w:rsidRDefault="00B74E20" w:rsidP="00B61565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</w:tr>
      <w:tr w:rsidR="00982973" w:rsidRPr="00BC11BF" w:rsidTr="00B61565">
        <w:tc>
          <w:tcPr>
            <w:tcW w:w="1368" w:type="dxa"/>
            <w:shd w:val="clear" w:color="auto" w:fill="auto"/>
            <w:vAlign w:val="center"/>
          </w:tcPr>
          <w:p w:rsidR="00982973" w:rsidRPr="00222288" w:rsidRDefault="008D021A" w:rsidP="00B61565">
            <w:pPr>
              <w:bidi/>
              <w:jc w:val="center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א'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2973" w:rsidRPr="00222288" w:rsidRDefault="008D021A" w:rsidP="00B61565">
            <w:pPr>
              <w:bidi/>
              <w:jc w:val="center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2973" w:rsidRPr="00222288" w:rsidRDefault="008D021A" w:rsidP="00B61565">
            <w:pPr>
              <w:bidi/>
              <w:jc w:val="center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2973" w:rsidRPr="00222288" w:rsidRDefault="008D021A" w:rsidP="00B61565">
            <w:pPr>
              <w:bidi/>
              <w:jc w:val="center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82973" w:rsidRPr="00222288" w:rsidRDefault="008D021A" w:rsidP="00B61565">
            <w:pPr>
              <w:bidi/>
              <w:jc w:val="center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82973" w:rsidRPr="00222288" w:rsidRDefault="008D021A" w:rsidP="00FC3B14">
            <w:pPr>
              <w:bidi/>
              <w:jc w:val="center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תולדות הלשון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2973" w:rsidRPr="00222288" w:rsidRDefault="00982973" w:rsidP="00B61565">
            <w:pPr>
              <w:bidi/>
              <w:jc w:val="center"/>
              <w:rPr>
                <w:rFonts w:ascii="Arial" w:hAnsi="Arial" w:cs="David"/>
              </w:rPr>
            </w:pPr>
          </w:p>
        </w:tc>
      </w:tr>
    </w:tbl>
    <w:p w:rsidR="00F86FCB" w:rsidRDefault="00F86FCB" w:rsidP="00F86FCB">
      <w:pPr>
        <w:pStyle w:val="Heading1"/>
        <w:spacing w:before="0" w:after="0" w:line="360" w:lineRule="auto"/>
        <w:ind w:left="6"/>
        <w:rPr>
          <w:rFonts w:cs="David"/>
          <w:b w:val="0"/>
          <w:bCs w:val="0"/>
          <w:sz w:val="24"/>
          <w:szCs w:val="24"/>
        </w:rPr>
      </w:pPr>
      <w:r>
        <w:rPr>
          <w:rFonts w:cs="David" w:hint="cs"/>
          <w:b w:val="0"/>
          <w:bCs w:val="0"/>
          <w:sz w:val="24"/>
          <w:szCs w:val="24"/>
          <w:rtl/>
        </w:rPr>
        <w:t xml:space="preserve">* קורס חובה סדנת קריאה וכתיבה – </w:t>
      </w:r>
      <w:proofErr w:type="spellStart"/>
      <w:r>
        <w:rPr>
          <w:rFonts w:cs="David" w:hint="cs"/>
          <w:b w:val="0"/>
          <w:bCs w:val="0"/>
          <w:sz w:val="24"/>
          <w:szCs w:val="24"/>
          <w:rtl/>
        </w:rPr>
        <w:t>פקולטית</w:t>
      </w:r>
      <w:proofErr w:type="spellEnd"/>
      <w:r>
        <w:rPr>
          <w:rFonts w:cs="David" w:hint="cs"/>
          <w:b w:val="0"/>
          <w:bCs w:val="0"/>
          <w:sz w:val="24"/>
          <w:szCs w:val="24"/>
          <w:rtl/>
        </w:rPr>
        <w:t>, הקורס הוא חלק מן הלימודים הכללים של הסטודנט.</w:t>
      </w:r>
    </w:p>
    <w:p w:rsidR="00F86FCB" w:rsidRPr="000A0B4C" w:rsidRDefault="00F86FCB" w:rsidP="008D021A">
      <w:pPr>
        <w:pStyle w:val="Heading1"/>
        <w:spacing w:before="0" w:after="0" w:line="360" w:lineRule="auto"/>
        <w:ind w:left="6"/>
        <w:rPr>
          <w:rFonts w:cs="David"/>
          <w:sz w:val="24"/>
          <w:szCs w:val="24"/>
        </w:rPr>
      </w:pPr>
      <w:r w:rsidRPr="000A0B4C">
        <w:rPr>
          <w:rFonts w:cs="David" w:hint="cs"/>
          <w:sz w:val="24"/>
          <w:szCs w:val="24"/>
          <w:rtl/>
        </w:rPr>
        <w:t>חובה על תלמידי שנה א, להירשם לקורס בסמסטר ב' תשע"</w:t>
      </w:r>
      <w:r w:rsidR="008D021A">
        <w:rPr>
          <w:rFonts w:cs="David" w:hint="cs"/>
          <w:sz w:val="24"/>
          <w:szCs w:val="24"/>
          <w:rtl/>
        </w:rPr>
        <w:t>ט</w:t>
      </w:r>
      <w:r w:rsidRPr="000A0B4C">
        <w:rPr>
          <w:rFonts w:cs="David" w:hint="cs"/>
          <w:sz w:val="24"/>
          <w:szCs w:val="24"/>
          <w:rtl/>
        </w:rPr>
        <w:t xml:space="preserve">. </w:t>
      </w:r>
    </w:p>
    <w:p w:rsidR="00F86FCB" w:rsidRDefault="00F86FCB" w:rsidP="00F86FCB">
      <w:pPr>
        <w:pStyle w:val="Heading1"/>
        <w:spacing w:before="0" w:after="0" w:line="360" w:lineRule="auto"/>
        <w:ind w:left="6"/>
        <w:rPr>
          <w:rFonts w:cs="David"/>
          <w:b w:val="0"/>
          <w:bCs w:val="0"/>
          <w:sz w:val="24"/>
          <w:szCs w:val="24"/>
          <w:rtl/>
        </w:rPr>
      </w:pPr>
      <w:r>
        <w:rPr>
          <w:rFonts w:cs="David" w:hint="cs"/>
          <w:b w:val="0"/>
          <w:bCs w:val="0"/>
          <w:sz w:val="24"/>
          <w:szCs w:val="24"/>
          <w:rtl/>
        </w:rPr>
        <w:t>מס' הקורס הוא 151-1-0008.</w:t>
      </w:r>
    </w:p>
    <w:p w:rsidR="00F86FCB" w:rsidRDefault="00F86FCB" w:rsidP="00F86FCB">
      <w:p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7E7E04" w:rsidRDefault="007E7E04" w:rsidP="008262F0">
      <w:pPr>
        <w:numPr>
          <w:ilvl w:val="12"/>
          <w:numId w:val="0"/>
        </w:numPr>
        <w:bidi/>
        <w:spacing w:after="0" w:line="360" w:lineRule="auto"/>
        <w:ind w:left="-138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</w:t>
      </w:r>
      <w:r w:rsidR="00B1367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לשנה ב'</w:t>
      </w:r>
    </w:p>
    <w:p w:rsidR="00B13677" w:rsidRPr="00A91A6D" w:rsidRDefault="00B13677" w:rsidP="002937B2">
      <w:pPr>
        <w:bidi/>
        <w:spacing w:line="360" w:lineRule="auto"/>
        <w:jc w:val="both"/>
        <w:rPr>
          <w:rFonts w:cs="David"/>
          <w:rtl/>
        </w:rPr>
      </w:pPr>
      <w:r w:rsidRPr="009E659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ציון עובר בשיעורי המחלקה הוא ככלל 56, 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בקורס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'ניקוד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'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הציון העובר הוא 65, 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בקורסים 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'מבוא לקדקוד העברי' 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ו'יסודות התחביר' 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הציון העובר הוא</w:t>
      </w:r>
      <w:r w:rsidR="008D021A" w:rsidRPr="009E659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331E6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75.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A91A6D">
        <w:rPr>
          <w:rFonts w:cs="David" w:hint="cs"/>
          <w:rtl/>
        </w:rPr>
        <w:t>אלה הם קורסי קדם לרוב השיעורים בשנים ב' ו- ג'</w:t>
      </w:r>
      <w:r>
        <w:rPr>
          <w:rFonts w:hint="cs"/>
          <w:rtl/>
        </w:rPr>
        <w:t xml:space="preserve">. </w:t>
      </w:r>
      <w:r>
        <w:rPr>
          <w:rFonts w:cs="David" w:hint="cs"/>
          <w:rtl/>
        </w:rPr>
        <w:t>הרשמה לקורס כלשהו מותנית בסיום קורס-הקדם שלו בהצלחה.</w:t>
      </w:r>
    </w:p>
    <w:p w:rsidR="00B13677" w:rsidRPr="009E6599" w:rsidRDefault="00B13677" w:rsidP="00B13677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תנאי מעבר נוסף לשנה ב' הוא ממוצע כללי של 65 ומעלה בשיעורי שנה א'.</w:t>
      </w:r>
    </w:p>
    <w:p w:rsidR="00982973" w:rsidRDefault="00982973" w:rsidP="00982973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Default="007E7E04" w:rsidP="00982973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ב'</w:t>
      </w:r>
      <w:r w:rsidR="00BB0138" w:rsidRPr="00BB0138">
        <w:rPr>
          <w:rFonts w:ascii="Times New Roman" w:eastAsia="Times New Roman" w:hAnsi="Times New Roman" w:cs="David" w:hint="cs"/>
          <w:bCs/>
          <w:sz w:val="24"/>
          <w:szCs w:val="24"/>
          <w:rtl/>
        </w:rPr>
        <w:t xml:space="preserve"> קורסי חובה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015"/>
        <w:gridCol w:w="1721"/>
        <w:gridCol w:w="1368"/>
      </w:tblGrid>
      <w:tr w:rsidR="007E7E04" w:rsidRPr="00BC11BF" w:rsidTr="00B61565"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שעות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מס' הקורס</w:t>
            </w:r>
          </w:p>
        </w:tc>
      </w:tr>
      <w:tr w:rsidR="00741423" w:rsidRPr="00BC11BF" w:rsidTr="00B61565"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ב'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תורת ההג</w:t>
            </w:r>
            <w:r w:rsidRPr="00BC11BF">
              <w:rPr>
                <w:rFonts w:cs="David" w:hint="cs"/>
                <w:rtl/>
              </w:rPr>
              <w:t>ה של לשון המקרא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123-1-1081</w:t>
            </w:r>
          </w:p>
        </w:tc>
      </w:tr>
      <w:tr w:rsidR="00741423" w:rsidRPr="00BC11BF" w:rsidTr="00B61565">
        <w:tc>
          <w:tcPr>
            <w:tcW w:w="1368" w:type="dxa"/>
            <w:shd w:val="clear" w:color="auto" w:fill="auto"/>
            <w:vAlign w:val="center"/>
          </w:tcPr>
          <w:p w:rsidR="00741423" w:rsidRDefault="00741423" w:rsidP="00BA5AD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Default="00741423" w:rsidP="00BA5AD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41423" w:rsidRDefault="00741423" w:rsidP="00BA5AD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41423" w:rsidRDefault="00741423" w:rsidP="00BA5AD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תורת ההגה של העברית החדשה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Default="00741423" w:rsidP="00BA5AD2">
            <w:pPr>
              <w:bidi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123-1-1451</w:t>
            </w:r>
          </w:p>
        </w:tc>
      </w:tr>
      <w:tr w:rsidR="00741423" w:rsidRPr="00BC11BF" w:rsidTr="00B61565"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א'/ב'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תחביר העברית החדשה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123-1-1141</w:t>
            </w:r>
          </w:p>
        </w:tc>
      </w:tr>
      <w:tr w:rsidR="00741423" w:rsidRPr="00BC11BF" w:rsidTr="00B61565"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א'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לשון חז"ל - מבוא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A5AD2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123-1-1801</w:t>
            </w:r>
          </w:p>
        </w:tc>
      </w:tr>
      <w:tr w:rsidR="008D021A" w:rsidRPr="00BC11BF" w:rsidTr="00B61565">
        <w:tc>
          <w:tcPr>
            <w:tcW w:w="1368" w:type="dxa"/>
            <w:shd w:val="clear" w:color="auto" w:fill="auto"/>
            <w:vAlign w:val="center"/>
          </w:tcPr>
          <w:p w:rsidR="008D021A" w:rsidRDefault="008D021A" w:rsidP="00BA5AD2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D021A" w:rsidRDefault="008D021A" w:rsidP="00BA5AD2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D021A" w:rsidRDefault="008D021A" w:rsidP="00BA5AD2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D021A" w:rsidRDefault="008D021A" w:rsidP="00BA5AD2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D021A" w:rsidRDefault="008D021A" w:rsidP="00BA5AD2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D021A" w:rsidRDefault="008D021A" w:rsidP="00BA5AD2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סמנטיקה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D021A" w:rsidRDefault="008D021A" w:rsidP="00BA5AD2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123-1-1461</w:t>
            </w:r>
          </w:p>
        </w:tc>
      </w:tr>
    </w:tbl>
    <w:p w:rsidR="003D41A5" w:rsidRDefault="00741423" w:rsidP="00EE08DA">
      <w:p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*בתכנית זו ניתן ללמוד אחד הקורסים על תורת ההגה.</w:t>
      </w:r>
    </w:p>
    <w:p w:rsidR="00DB498E" w:rsidRPr="00B13677" w:rsidRDefault="00C31101" w:rsidP="00B13677">
      <w:pPr>
        <w:numPr>
          <w:ilvl w:val="12"/>
          <w:numId w:val="0"/>
        </w:numPr>
        <w:bidi/>
        <w:spacing w:after="0" w:line="360" w:lineRule="auto"/>
        <w:ind w:left="4"/>
        <w:rPr>
          <w:rFonts w:ascii="Times New Roman" w:eastAsia="Times New Roman" w:hAnsi="Times New Roman" w:cs="David"/>
          <w:b/>
          <w:sz w:val="24"/>
          <w:szCs w:val="24"/>
          <w:rtl/>
          <w:lang w:eastAsia="he-IL"/>
        </w:rPr>
      </w:pPr>
      <w:bookmarkStart w:id="0" w:name="_GoBack"/>
      <w:bookmarkEnd w:id="0"/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תנאי מעבר לשנה ג'</w:t>
      </w:r>
    </w:p>
    <w:p w:rsidR="00B13677" w:rsidRPr="00A91A6D" w:rsidRDefault="00B13677" w:rsidP="00FC2441">
      <w:pPr>
        <w:bidi/>
        <w:spacing w:after="0" w:line="360" w:lineRule="auto"/>
        <w:ind w:left="4" w:right="360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sz w:val="24"/>
          <w:szCs w:val="24"/>
          <w:rtl/>
        </w:rPr>
        <w:t xml:space="preserve">נדרש ציון 56 בכל אחד מקורסי שנה ב' וממוצע כללי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של לפחות 65.</w:t>
      </w:r>
    </w:p>
    <w:p w:rsidR="008E78EF" w:rsidRDefault="008E78EF" w:rsidP="00B13677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7E7E04" w:rsidRDefault="007E7E04" w:rsidP="007E7E0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שנה ג'</w:t>
      </w:r>
    </w:p>
    <w:p w:rsidR="007E7E04" w:rsidRDefault="007E7E04" w:rsidP="007E7E0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קורסי חובה</w:t>
      </w:r>
      <w:r w:rsidR="008E78EF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>+סמינרים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157"/>
        <w:gridCol w:w="1579"/>
        <w:gridCol w:w="1368"/>
      </w:tblGrid>
      <w:tr w:rsidR="007E7E04" w:rsidRPr="00BC11BF" w:rsidTr="00B61565"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סמסטר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סה"כ נקודות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סה"כ שעות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שעות תרגול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שעות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שם הקורס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7E04" w:rsidRPr="00BC11BF" w:rsidRDefault="007E7E04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מס' הקורס</w:t>
            </w:r>
          </w:p>
        </w:tc>
      </w:tr>
      <w:tr w:rsidR="00B74E20" w:rsidRPr="00BC11BF" w:rsidTr="00B61565">
        <w:tc>
          <w:tcPr>
            <w:tcW w:w="1368" w:type="dxa"/>
            <w:shd w:val="clear" w:color="auto" w:fill="auto"/>
            <w:vAlign w:val="center"/>
          </w:tcPr>
          <w:p w:rsidR="00B74E20" w:rsidRPr="00BC11BF" w:rsidRDefault="00B74E20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א'+ ב'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Pr="00BC11BF" w:rsidRDefault="00B74E20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Default="00EE08DA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:rsidR="00EE08DA" w:rsidRPr="00BC11BF" w:rsidRDefault="00EE08DA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Pr="00BC11BF" w:rsidRDefault="00B446FF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B74E20" w:rsidRDefault="00EE08DA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  <w:p w:rsidR="00EE08DA" w:rsidRPr="00BC11BF" w:rsidRDefault="00EE08DA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74E20" w:rsidRPr="00BC11BF" w:rsidRDefault="00B74E20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 w:rsidRPr="00BC11BF">
              <w:rPr>
                <w:rFonts w:cs="David" w:hint="cs"/>
                <w:rtl/>
              </w:rPr>
              <w:t>סמינר אחד א', ב'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74E20" w:rsidRPr="00BC11BF" w:rsidRDefault="00B74E20" w:rsidP="00B61565">
            <w:pPr>
              <w:bidi/>
              <w:spacing w:line="240" w:lineRule="auto"/>
              <w:jc w:val="center"/>
              <w:rPr>
                <w:rFonts w:cs="David"/>
              </w:rPr>
            </w:pPr>
          </w:p>
        </w:tc>
      </w:tr>
      <w:tr w:rsidR="00741423" w:rsidRPr="00BC11BF" w:rsidTr="00B61565"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Default="007414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Default="007414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41423" w:rsidRDefault="007414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לעברית של ימי הביניים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123-1-1351</w:t>
            </w:r>
          </w:p>
        </w:tc>
      </w:tr>
      <w:tr w:rsidR="00741423" w:rsidRPr="00BC11BF" w:rsidTr="00B61565"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א'/ב'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Default="007414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Default="007414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-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41423" w:rsidRDefault="007414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מבוא לחקר השיח של העברית החדשה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41423" w:rsidRPr="00BC11BF" w:rsidRDefault="00741423" w:rsidP="00B61565">
            <w:pPr>
              <w:bidi/>
              <w:spacing w:line="24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123-1-1071</w:t>
            </w:r>
          </w:p>
        </w:tc>
      </w:tr>
    </w:tbl>
    <w:p w:rsidR="007E7E04" w:rsidRDefault="007E7E04" w:rsidP="007E7E04">
      <w:pPr>
        <w:numPr>
          <w:ilvl w:val="12"/>
          <w:numId w:val="0"/>
        </w:numPr>
        <w:bidi/>
        <w:spacing w:after="0" w:line="360" w:lineRule="auto"/>
        <w:ind w:left="960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8262F0" w:rsidRPr="0025635B" w:rsidRDefault="00DB498E" w:rsidP="0025635B">
      <w:pPr>
        <w:numPr>
          <w:ilvl w:val="0"/>
          <w:numId w:val="3"/>
        </w:numPr>
        <w:bidi/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2433DA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תכנית זו מיועדת גם לתלמידים הלומדים במחלקה ללימודים רב-תחומיים (147)</w:t>
      </w:r>
    </w:p>
    <w:p w:rsidR="00DB498E" w:rsidRDefault="00453276" w:rsidP="008262F0">
      <w:pPr>
        <w:numPr>
          <w:ilvl w:val="12"/>
          <w:numId w:val="0"/>
        </w:numPr>
        <w:bidi/>
        <w:spacing w:after="0" w:line="360" w:lineRule="auto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  <w:br w:type="page"/>
      </w:r>
      <w:r w:rsidR="00DB498E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lastRenderedPageBreak/>
        <w:t>הערות</w:t>
      </w:r>
      <w:r w:rsidR="00B13677">
        <w:rPr>
          <w:rFonts w:ascii="Times New Roman" w:eastAsia="Times New Roman" w:hAnsi="Times New Roman" w:cs="David" w:hint="cs"/>
          <w:bCs/>
          <w:sz w:val="24"/>
          <w:szCs w:val="24"/>
          <w:u w:val="single"/>
          <w:rtl/>
        </w:rPr>
        <w:t xml:space="preserve"> כלליות</w:t>
      </w:r>
    </w:p>
    <w:p w:rsidR="00441369" w:rsidRPr="00441369" w:rsidRDefault="00441369" w:rsidP="00441369">
      <w:pPr>
        <w:bidi/>
        <w:spacing w:after="0" w:line="360" w:lineRule="auto"/>
        <w:ind w:left="4" w:right="360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* 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על מנת לסגור את התואר במחלקה יש להגיע לממוצע של 65 לפחות בשיעורי המחלקה.</w:t>
      </w:r>
    </w:p>
    <w:p w:rsidR="00DE6BA9" w:rsidRDefault="00DE6BA9" w:rsidP="00DE6BA9">
      <w:pPr>
        <w:bidi/>
        <w:spacing w:after="0" w:line="360" w:lineRule="auto"/>
        <w:ind w:right="360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:rsidR="00982973" w:rsidRDefault="00C31101" w:rsidP="00312461">
      <w:pPr>
        <w:bidi/>
        <w:spacing w:after="0" w:line="360" w:lineRule="auto"/>
        <w:ind w:right="360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סמינרים</w:t>
      </w:r>
    </w:p>
    <w:p w:rsidR="00982973" w:rsidRPr="00982973" w:rsidRDefault="00B13677" w:rsidP="00453276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במסגרת מחלקה ראשית</w:t>
      </w:r>
      <w:r w:rsidR="005C2E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כותבים </w:t>
      </w:r>
      <w:r w:rsidR="00C3110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2</w:t>
      </w:r>
      <w:r w:rsidR="005C2E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עבודות</w:t>
      </w:r>
      <w:r w:rsidR="00C3110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סמינר.</w:t>
      </w:r>
      <w:r w:rsidR="005C2E5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893B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בתכנית הדו</w:t>
      </w:r>
      <w:r w:rsidR="004532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-</w:t>
      </w:r>
      <w:r w:rsidR="00893B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מחלקתית </w:t>
      </w:r>
      <w:r w:rsidR="00AC5DD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במסגרת מחלקה משנית</w:t>
      </w:r>
      <w:r w:rsidR="00893B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כות</w:t>
      </w:r>
      <w:r w:rsidR="00AC5DD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בים עבודת סמינר אחת</w:t>
      </w:r>
      <w:r w:rsidR="004532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בלבד.</w:t>
      </w:r>
    </w:p>
    <w:p w:rsidR="00441369" w:rsidRPr="00441369" w:rsidRDefault="00441369" w:rsidP="00B13677">
      <w:pPr>
        <w:bidi/>
        <w:spacing w:after="0" w:line="360" w:lineRule="auto"/>
        <w:ind w:left="4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העבודה תוגש לא יאוחר מ-30  בספטמבר בסוף שנת הלימודים שב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 מתקיים הסמינר.  בקשות </w:t>
      </w:r>
      <w:r w:rsidR="004532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דחיית 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מועד 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ההגשה 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לא יידונו לאחר 31 באוגוסט של אותה שנת הלימודים (תקנות מפורטות יותר ניתן לקבל במז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כירות המחלקה). כללי הגשת העבודה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ייקבעו על ידי המרצה</w:t>
      </w:r>
      <w:r w:rsidR="00312461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ובהתאם לתקנון הסמינרים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. זכאים להשתתף בסמינרים רק תלמידים שסיימו את כל החובות של שנה א'. </w:t>
      </w:r>
      <w:r w:rsidRPr="00441369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אין להשתתף בשני סמינרים של מרצה אחד או בנושא אחד.</w:t>
      </w:r>
      <w:r w:rsidRPr="0044136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חלק מהסמינרי</w:t>
      </w:r>
      <w:r w:rsidR="00B13677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ם יהיו פתוחים רק לתלמידי שנה ג' או לתלמידים בעלי ציונים גבוהים בתחומים רלוונטיים לסמינר.</w:t>
      </w:r>
    </w:p>
    <w:p w:rsidR="00441369" w:rsidRPr="00441369" w:rsidRDefault="00441369" w:rsidP="003D41A5">
      <w:pPr>
        <w:bidi/>
        <w:spacing w:after="0" w:line="360" w:lineRule="auto"/>
        <w:ind w:right="360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</w:p>
    <w:p w:rsidR="00441369" w:rsidRPr="00441369" w:rsidRDefault="00B13677" w:rsidP="003D41A5">
      <w:pPr>
        <w:bidi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פטורים</w:t>
      </w:r>
      <w:r w:rsidR="00441369" w:rsidRPr="00441369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 ותגבורים</w:t>
      </w:r>
    </w:p>
    <w:p w:rsidR="00441369" w:rsidRPr="00B05B84" w:rsidRDefault="00B13677" w:rsidP="008D021A">
      <w:pPr>
        <w:numPr>
          <w:ilvl w:val="0"/>
          <w:numId w:val="9"/>
        </w:numPr>
        <w:tabs>
          <w:tab w:val="clear" w:pos="643"/>
          <w:tab w:val="num" w:pos="146"/>
          <w:tab w:val="left" w:pos="9360"/>
        </w:tabs>
        <w:bidi/>
        <w:spacing w:after="0" w:line="360" w:lineRule="auto"/>
        <w:ind w:left="146" w:hanging="142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השיעור 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'ערב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ית </w:t>
      </w:r>
      <w:r w:rsidR="008D021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בסיסית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מיועד לתלמיד</w:t>
      </w:r>
      <w:r w:rsidR="00B05B84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ים שאינם יודעים ערבית. לא יוכל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להשתתף בו תלמיד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ים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שקיבל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ציון עובר בערבית בבחינת הבגרות (3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יחידות ומעלה) או ששפת-אמם</w:t>
      </w:r>
      <w:r w:rsidR="00441369" w:rsidRPr="00B05B84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ערבית.</w:t>
      </w:r>
    </w:p>
    <w:p w:rsidR="00441369" w:rsidRPr="003A5BB9" w:rsidRDefault="00441369" w:rsidP="00453276">
      <w:pPr>
        <w:numPr>
          <w:ilvl w:val="0"/>
          <w:numId w:val="9"/>
        </w:numPr>
        <w:tabs>
          <w:tab w:val="clear" w:pos="643"/>
          <w:tab w:val="num" w:pos="146"/>
          <w:tab w:val="left" w:pos="9360"/>
        </w:tabs>
        <w:bidi/>
        <w:spacing w:after="0" w:line="360" w:lineRule="auto"/>
        <w:ind w:left="146" w:hanging="142"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3A5BB9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תלמיד שאינו רשאי להשתתף באחד מהקורסים הנ"ל </w:t>
      </w:r>
      <w:r w:rsidR="00B13677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ישלים</w:t>
      </w:r>
      <w:r w:rsidRPr="003A5BB9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 את הנקודות החסרות בתיאום עם ועדת ההוראה המחלקתית. </w:t>
      </w:r>
      <w:r w:rsidR="003A5BB9" w:rsidRPr="003A5BB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לקראת תחילת שנת הלימודים </w:t>
      </w:r>
      <w:r w:rsidR="004532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תפורסם</w:t>
      </w:r>
      <w:r w:rsidR="003A5BB9" w:rsidRPr="003A5BB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רשימת שיעורים ממחלקות אחרות שניתן ללמוד במסגרת זו.</w:t>
      </w:r>
    </w:p>
    <w:p w:rsidR="00CE10D1" w:rsidRDefault="008A4C5C" w:rsidP="00B05B84">
      <w:pPr>
        <w:widowControl w:val="0"/>
        <w:numPr>
          <w:ilvl w:val="0"/>
          <w:numId w:val="9"/>
        </w:numPr>
        <w:tabs>
          <w:tab w:val="clear" w:pos="643"/>
          <w:tab w:val="num" w:pos="146"/>
          <w:tab w:val="left" w:pos="1001"/>
          <w:tab w:val="left" w:pos="9360"/>
        </w:tabs>
        <w:bidi/>
        <w:snapToGrid w:val="0"/>
        <w:spacing w:after="0" w:line="360" w:lineRule="auto"/>
        <w:ind w:left="146" w:hanging="142"/>
        <w:jc w:val="both"/>
        <w:rPr>
          <w:rFonts w:ascii="Times New Roman" w:eastAsia="Times New Roman" w:hAnsi="Times New Roman" w:cs="David"/>
          <w:sz w:val="16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תלמידי שנה 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א' ששפת</w:t>
      </w:r>
      <w:r w:rsidR="00CE10D1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-אמם אינה עברית </w:t>
      </w:r>
      <w:r w:rsidR="00CE10D1" w:rsidRPr="00453276">
        <w:rPr>
          <w:rFonts w:ascii="Times New Roman" w:eastAsia="Times New Roman" w:hAnsi="Times New Roman" w:cs="David" w:hint="cs"/>
          <w:sz w:val="16"/>
          <w:szCs w:val="24"/>
          <w:u w:val="single"/>
          <w:rtl/>
          <w:lang w:eastAsia="he-IL"/>
        </w:rPr>
        <w:t>מחויבים</w:t>
      </w:r>
      <w:r w:rsidR="00CE10D1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 ב</w:t>
      </w:r>
      <w:r w:rsidR="00441369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שיעורי תגבור בקורסי היסוד 'ניקוד' (א'+ב'), 'מבוא לדקדוק העברי' (א'+ב') ו'ניתוח תחבירי' (א'+ב') ללא תוספת תשלום. </w:t>
      </w:r>
    </w:p>
    <w:p w:rsidR="00441369" w:rsidRPr="00CE10D1" w:rsidRDefault="00441369" w:rsidP="00CE10D1">
      <w:pPr>
        <w:widowControl w:val="0"/>
        <w:numPr>
          <w:ilvl w:val="0"/>
          <w:numId w:val="9"/>
        </w:numPr>
        <w:tabs>
          <w:tab w:val="clear" w:pos="643"/>
          <w:tab w:val="num" w:pos="146"/>
          <w:tab w:val="left" w:pos="1001"/>
          <w:tab w:val="left" w:pos="9360"/>
        </w:tabs>
        <w:bidi/>
        <w:snapToGrid w:val="0"/>
        <w:spacing w:after="0" w:line="360" w:lineRule="auto"/>
        <w:ind w:left="146" w:hanging="142"/>
        <w:jc w:val="both"/>
        <w:rPr>
          <w:rFonts w:ascii="Times New Roman" w:eastAsia="Times New Roman" w:hAnsi="Times New Roman" w:cs="David"/>
          <w:sz w:val="16"/>
          <w:szCs w:val="24"/>
          <w:rtl/>
          <w:lang w:eastAsia="he-IL"/>
        </w:rPr>
      </w:pPr>
      <w:r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תלמידים ששפת-אמם עברית </w:t>
      </w:r>
      <w:r w:rsidR="00B05B84"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יחויבו אף הם </w:t>
      </w:r>
      <w:r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 xml:space="preserve">בשיעורי תגבור בסמסטר ב' אם הישגיהם בסמסטר א' יהיו נמוכים מן הרף שהציבו המרצים בקורסים הנידונים. התגבור לתלמידים אלה כרוך בתשלום סמלי ומתבצע </w:t>
      </w:r>
      <w:r w:rsid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ב</w:t>
      </w:r>
      <w:r w:rsidRPr="00CE10D1">
        <w:rPr>
          <w:rFonts w:ascii="Times New Roman" w:eastAsia="Times New Roman" w:hAnsi="Times New Roman" w:cs="David" w:hint="cs"/>
          <w:sz w:val="16"/>
          <w:szCs w:val="24"/>
          <w:rtl/>
          <w:lang w:eastAsia="he-IL"/>
        </w:rPr>
        <w:t>מתכונת של חונכות אישית (פרטים נוספים בדיקנאט הסטודנטים).</w:t>
      </w:r>
    </w:p>
    <w:p w:rsidR="009E6599" w:rsidRPr="00441369" w:rsidRDefault="009E6599" w:rsidP="003D41A5">
      <w:pPr>
        <w:numPr>
          <w:ilvl w:val="12"/>
          <w:numId w:val="0"/>
        </w:numPr>
        <w:bidi/>
        <w:spacing w:after="0" w:line="360" w:lineRule="auto"/>
        <w:ind w:left="960"/>
        <w:jc w:val="both"/>
        <w:rPr>
          <w:rFonts w:ascii="Times New Roman" w:eastAsia="Times New Roman" w:hAnsi="Times New Roman" w:cs="David"/>
          <w:bCs/>
          <w:sz w:val="24"/>
          <w:szCs w:val="24"/>
          <w:u w:val="single"/>
          <w:rtl/>
        </w:rPr>
      </w:pPr>
    </w:p>
    <w:p w:rsidR="000024AD" w:rsidRPr="000024AD" w:rsidRDefault="000024AD" w:rsidP="00070625">
      <w:pPr>
        <w:numPr>
          <w:ilvl w:val="12"/>
          <w:numId w:val="0"/>
        </w:numPr>
        <w:bidi/>
        <w:spacing w:after="0" w:line="360" w:lineRule="auto"/>
        <w:ind w:left="960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0024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חובה לקרוא את פרק תקנון הפקולטה לתואר ראשון</w:t>
      </w:r>
    </w:p>
    <w:sectPr w:rsidR="000024AD" w:rsidRPr="000024AD" w:rsidSect="00432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440" w:bottom="1440" w:left="1440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AB6" w:rsidRDefault="008E0AB6" w:rsidP="00C235FD">
      <w:pPr>
        <w:spacing w:after="0" w:line="240" w:lineRule="auto"/>
      </w:pPr>
      <w:r>
        <w:separator/>
      </w:r>
    </w:p>
  </w:endnote>
  <w:endnote w:type="continuationSeparator" w:id="0">
    <w:p w:rsidR="008E0AB6" w:rsidRDefault="008E0AB6" w:rsidP="00C2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72" w:rsidRDefault="00432B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6E" w:rsidRDefault="00F21F73">
    <w:pPr>
      <w:pStyle w:val="Footer"/>
      <w:jc w:val="center"/>
      <w:rPr>
        <w:rtl/>
        <w:cs/>
      </w:rPr>
    </w:pPr>
    <w:r>
      <w:fldChar w:fldCharType="begin"/>
    </w:r>
    <w:r w:rsidR="00331E6E">
      <w:rPr>
        <w:rtl/>
        <w:cs/>
      </w:rPr>
      <w:instrText>PAGE   \* MERGEFORMAT</w:instrText>
    </w:r>
    <w:r>
      <w:fldChar w:fldCharType="separate"/>
    </w:r>
    <w:r w:rsidR="00B505B7" w:rsidRPr="00B505B7">
      <w:rPr>
        <w:rFonts w:cs="Calibri"/>
        <w:noProof/>
        <w:lang w:val="he-IL"/>
      </w:rPr>
      <w:t>61</w:t>
    </w:r>
    <w:r>
      <w:fldChar w:fldCharType="end"/>
    </w:r>
  </w:p>
  <w:p w:rsidR="00331E6E" w:rsidRDefault="00331E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72" w:rsidRDefault="00432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AB6" w:rsidRDefault="008E0AB6" w:rsidP="00C235FD">
      <w:pPr>
        <w:spacing w:after="0" w:line="240" w:lineRule="auto"/>
      </w:pPr>
      <w:r>
        <w:separator/>
      </w:r>
    </w:p>
  </w:footnote>
  <w:footnote w:type="continuationSeparator" w:id="0">
    <w:p w:rsidR="008E0AB6" w:rsidRDefault="008E0AB6" w:rsidP="00C2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72" w:rsidRDefault="00432B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72" w:rsidRDefault="00432B7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72" w:rsidRDefault="00432B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B04"/>
    <w:multiLevelType w:val="hybridMultilevel"/>
    <w:tmpl w:val="B4D49ED8"/>
    <w:lvl w:ilvl="0" w:tplc="0AEA09A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F6C18"/>
    <w:multiLevelType w:val="hybridMultilevel"/>
    <w:tmpl w:val="EFBA6474"/>
    <w:lvl w:ilvl="0" w:tplc="01080400">
      <w:start w:val="123"/>
      <w:numFmt w:val="bullet"/>
      <w:lvlText w:val=""/>
      <w:lvlJc w:val="left"/>
      <w:pPr>
        <w:ind w:left="13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4E86BCC"/>
    <w:multiLevelType w:val="hybridMultilevel"/>
    <w:tmpl w:val="5B424DB2"/>
    <w:lvl w:ilvl="0" w:tplc="3808FE28">
      <w:start w:val="1"/>
      <w:numFmt w:val="decimal"/>
      <w:lvlText w:val="%1."/>
      <w:lvlJc w:val="center"/>
      <w:pPr>
        <w:tabs>
          <w:tab w:val="num" w:pos="643"/>
        </w:tabs>
        <w:ind w:left="643" w:hanging="360"/>
      </w:pPr>
      <w:rPr>
        <w:b w:val="0"/>
        <w:bCs w:val="0"/>
        <w:sz w:val="28"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083E64B2"/>
    <w:multiLevelType w:val="hybridMultilevel"/>
    <w:tmpl w:val="FFBC6460"/>
    <w:lvl w:ilvl="0" w:tplc="F68C2334"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4">
    <w:nsid w:val="09A703CE"/>
    <w:multiLevelType w:val="hybridMultilevel"/>
    <w:tmpl w:val="BC8E381A"/>
    <w:lvl w:ilvl="0" w:tplc="3BA81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255E0"/>
    <w:multiLevelType w:val="hybridMultilevel"/>
    <w:tmpl w:val="65FC120A"/>
    <w:lvl w:ilvl="0" w:tplc="F58A574C"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>
    <w:nsid w:val="0FCC3067"/>
    <w:multiLevelType w:val="singleLevel"/>
    <w:tmpl w:val="040D000F"/>
    <w:lvl w:ilvl="0">
      <w:start w:val="1"/>
      <w:numFmt w:val="decimal"/>
      <w:lvlText w:val="%1."/>
      <w:lvlJc w:val="center"/>
      <w:pPr>
        <w:ind w:left="360" w:hanging="360"/>
      </w:pPr>
      <w:rPr>
        <w:sz w:val="28"/>
      </w:rPr>
    </w:lvl>
  </w:abstractNum>
  <w:abstractNum w:abstractNumId="7">
    <w:nsid w:val="13C825B5"/>
    <w:multiLevelType w:val="hybridMultilevel"/>
    <w:tmpl w:val="ABE29296"/>
    <w:lvl w:ilvl="0" w:tplc="CF38549E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D060B"/>
    <w:multiLevelType w:val="singleLevel"/>
    <w:tmpl w:val="040D000F"/>
    <w:lvl w:ilvl="0">
      <w:start w:val="1"/>
      <w:numFmt w:val="decimal"/>
      <w:lvlText w:val="%1."/>
      <w:lvlJc w:val="center"/>
      <w:pPr>
        <w:ind w:left="360" w:hanging="360"/>
      </w:pPr>
      <w:rPr>
        <w:sz w:val="28"/>
      </w:rPr>
    </w:lvl>
  </w:abstractNum>
  <w:abstractNum w:abstractNumId="9">
    <w:nsid w:val="33DD547C"/>
    <w:multiLevelType w:val="hybridMultilevel"/>
    <w:tmpl w:val="AAFADFCC"/>
    <w:lvl w:ilvl="0" w:tplc="949CB656">
      <w:start w:val="123"/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3AA57DD3"/>
    <w:multiLevelType w:val="hybridMultilevel"/>
    <w:tmpl w:val="D13A3F90"/>
    <w:lvl w:ilvl="0" w:tplc="0409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45280"/>
    <w:multiLevelType w:val="singleLevel"/>
    <w:tmpl w:val="040D000F"/>
    <w:lvl w:ilvl="0">
      <w:start w:val="1"/>
      <w:numFmt w:val="decimal"/>
      <w:lvlText w:val="%1."/>
      <w:lvlJc w:val="center"/>
      <w:pPr>
        <w:ind w:left="360" w:hanging="360"/>
      </w:pPr>
      <w:rPr>
        <w:sz w:val="28"/>
      </w:rPr>
    </w:lvl>
  </w:abstractNum>
  <w:abstractNum w:abstractNumId="12">
    <w:nsid w:val="4C15769C"/>
    <w:multiLevelType w:val="singleLevel"/>
    <w:tmpl w:val="040D000F"/>
    <w:lvl w:ilvl="0">
      <w:start w:val="1"/>
      <w:numFmt w:val="decimal"/>
      <w:lvlText w:val="%1."/>
      <w:lvlJc w:val="center"/>
      <w:pPr>
        <w:ind w:left="360" w:hanging="360"/>
      </w:pPr>
      <w:rPr>
        <w:sz w:val="28"/>
      </w:rPr>
    </w:lvl>
  </w:abstractNum>
  <w:abstractNum w:abstractNumId="13">
    <w:nsid w:val="6A521B8B"/>
    <w:multiLevelType w:val="hybridMultilevel"/>
    <w:tmpl w:val="F7D8ACA4"/>
    <w:lvl w:ilvl="0" w:tplc="46989726"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4">
    <w:nsid w:val="7CFC16B5"/>
    <w:multiLevelType w:val="hybridMultilevel"/>
    <w:tmpl w:val="C4B8457C"/>
    <w:lvl w:ilvl="0" w:tplc="862855E0">
      <w:start w:val="121"/>
      <w:numFmt w:val="bullet"/>
      <w:lvlText w:val=""/>
      <w:lvlJc w:val="left"/>
      <w:pPr>
        <w:ind w:left="364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2"/>
  </w:num>
  <w:num w:numId="8">
    <w:abstractNumId w:val="1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3"/>
  </w:num>
  <w:num w:numId="13">
    <w:abstractNumId w:val="1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8E2"/>
    <w:rsid w:val="000024AD"/>
    <w:rsid w:val="00010EA3"/>
    <w:rsid w:val="00022BCC"/>
    <w:rsid w:val="00035165"/>
    <w:rsid w:val="00066DC6"/>
    <w:rsid w:val="00070625"/>
    <w:rsid w:val="00071B1B"/>
    <w:rsid w:val="000857B7"/>
    <w:rsid w:val="000A0B4C"/>
    <w:rsid w:val="000A117B"/>
    <w:rsid w:val="000B7029"/>
    <w:rsid w:val="000D160D"/>
    <w:rsid w:val="001740E7"/>
    <w:rsid w:val="00186230"/>
    <w:rsid w:val="00190973"/>
    <w:rsid w:val="001B13A5"/>
    <w:rsid w:val="001C66B8"/>
    <w:rsid w:val="001F59D2"/>
    <w:rsid w:val="00222288"/>
    <w:rsid w:val="00231704"/>
    <w:rsid w:val="00236F4C"/>
    <w:rsid w:val="002433DA"/>
    <w:rsid w:val="00247EDE"/>
    <w:rsid w:val="0025635B"/>
    <w:rsid w:val="00266402"/>
    <w:rsid w:val="002937B2"/>
    <w:rsid w:val="00295956"/>
    <w:rsid w:val="002B5EBF"/>
    <w:rsid w:val="002D59CD"/>
    <w:rsid w:val="00312461"/>
    <w:rsid w:val="00331E6E"/>
    <w:rsid w:val="00356224"/>
    <w:rsid w:val="003639DB"/>
    <w:rsid w:val="003725DF"/>
    <w:rsid w:val="003835CB"/>
    <w:rsid w:val="003A1C35"/>
    <w:rsid w:val="003A2853"/>
    <w:rsid w:val="003A5BB9"/>
    <w:rsid w:val="003D41A5"/>
    <w:rsid w:val="00400745"/>
    <w:rsid w:val="004017BC"/>
    <w:rsid w:val="00430119"/>
    <w:rsid w:val="004313DD"/>
    <w:rsid w:val="004328BF"/>
    <w:rsid w:val="00432B72"/>
    <w:rsid w:val="00441369"/>
    <w:rsid w:val="00453276"/>
    <w:rsid w:val="0045662D"/>
    <w:rsid w:val="004568AB"/>
    <w:rsid w:val="00477486"/>
    <w:rsid w:val="00494A86"/>
    <w:rsid w:val="004B361C"/>
    <w:rsid w:val="004C0D8D"/>
    <w:rsid w:val="004C1665"/>
    <w:rsid w:val="004E3A1D"/>
    <w:rsid w:val="00502269"/>
    <w:rsid w:val="0051040B"/>
    <w:rsid w:val="005136C5"/>
    <w:rsid w:val="00520455"/>
    <w:rsid w:val="005212B7"/>
    <w:rsid w:val="0053303C"/>
    <w:rsid w:val="0055679C"/>
    <w:rsid w:val="005826AD"/>
    <w:rsid w:val="00586BF6"/>
    <w:rsid w:val="005A2E89"/>
    <w:rsid w:val="005C18E2"/>
    <w:rsid w:val="005C2E57"/>
    <w:rsid w:val="005C4CFF"/>
    <w:rsid w:val="00614998"/>
    <w:rsid w:val="00623E53"/>
    <w:rsid w:val="00630539"/>
    <w:rsid w:val="00634537"/>
    <w:rsid w:val="006520E9"/>
    <w:rsid w:val="00665E31"/>
    <w:rsid w:val="00697C49"/>
    <w:rsid w:val="006A1BA8"/>
    <w:rsid w:val="006A5CDE"/>
    <w:rsid w:val="006B51C2"/>
    <w:rsid w:val="006C2C50"/>
    <w:rsid w:val="006D5275"/>
    <w:rsid w:val="006F76AC"/>
    <w:rsid w:val="00701F0F"/>
    <w:rsid w:val="007170A3"/>
    <w:rsid w:val="00717A4F"/>
    <w:rsid w:val="007317A1"/>
    <w:rsid w:val="007365EA"/>
    <w:rsid w:val="00736900"/>
    <w:rsid w:val="00741423"/>
    <w:rsid w:val="00747D7F"/>
    <w:rsid w:val="00750957"/>
    <w:rsid w:val="00754B5C"/>
    <w:rsid w:val="007571BF"/>
    <w:rsid w:val="00786A6E"/>
    <w:rsid w:val="007B4039"/>
    <w:rsid w:val="007C3492"/>
    <w:rsid w:val="007E42CC"/>
    <w:rsid w:val="007E6684"/>
    <w:rsid w:val="007E7E04"/>
    <w:rsid w:val="007F62A5"/>
    <w:rsid w:val="008262F0"/>
    <w:rsid w:val="00844CBA"/>
    <w:rsid w:val="00851EC5"/>
    <w:rsid w:val="0085411C"/>
    <w:rsid w:val="00872FB0"/>
    <w:rsid w:val="00893123"/>
    <w:rsid w:val="00893B76"/>
    <w:rsid w:val="008A4C5C"/>
    <w:rsid w:val="008C65AE"/>
    <w:rsid w:val="008D021A"/>
    <w:rsid w:val="008D5EDB"/>
    <w:rsid w:val="008E000E"/>
    <w:rsid w:val="008E0AB6"/>
    <w:rsid w:val="008E10EA"/>
    <w:rsid w:val="008E78EF"/>
    <w:rsid w:val="008F36AB"/>
    <w:rsid w:val="00905364"/>
    <w:rsid w:val="00911CA3"/>
    <w:rsid w:val="009203FF"/>
    <w:rsid w:val="00937873"/>
    <w:rsid w:val="00950594"/>
    <w:rsid w:val="00950B20"/>
    <w:rsid w:val="00953D5C"/>
    <w:rsid w:val="00960959"/>
    <w:rsid w:val="00963C97"/>
    <w:rsid w:val="00982973"/>
    <w:rsid w:val="009A243D"/>
    <w:rsid w:val="009C32E6"/>
    <w:rsid w:val="009C4AF9"/>
    <w:rsid w:val="009C71AE"/>
    <w:rsid w:val="009E6599"/>
    <w:rsid w:val="009E68DB"/>
    <w:rsid w:val="009F70B9"/>
    <w:rsid w:val="00A22957"/>
    <w:rsid w:val="00A5290E"/>
    <w:rsid w:val="00A91A6D"/>
    <w:rsid w:val="00AB68DA"/>
    <w:rsid w:val="00AC5DDC"/>
    <w:rsid w:val="00AC6655"/>
    <w:rsid w:val="00AE5364"/>
    <w:rsid w:val="00AF5617"/>
    <w:rsid w:val="00B05B84"/>
    <w:rsid w:val="00B13677"/>
    <w:rsid w:val="00B17564"/>
    <w:rsid w:val="00B3382C"/>
    <w:rsid w:val="00B370AB"/>
    <w:rsid w:val="00B40421"/>
    <w:rsid w:val="00B446FF"/>
    <w:rsid w:val="00B505B7"/>
    <w:rsid w:val="00B52100"/>
    <w:rsid w:val="00B61565"/>
    <w:rsid w:val="00B74E20"/>
    <w:rsid w:val="00B87CCC"/>
    <w:rsid w:val="00BA492A"/>
    <w:rsid w:val="00BA5AD2"/>
    <w:rsid w:val="00BB0138"/>
    <w:rsid w:val="00BC11BF"/>
    <w:rsid w:val="00BD4865"/>
    <w:rsid w:val="00BF2E3D"/>
    <w:rsid w:val="00C235FD"/>
    <w:rsid w:val="00C23636"/>
    <w:rsid w:val="00C25089"/>
    <w:rsid w:val="00C31101"/>
    <w:rsid w:val="00C35843"/>
    <w:rsid w:val="00C36301"/>
    <w:rsid w:val="00C45E47"/>
    <w:rsid w:val="00C57CE2"/>
    <w:rsid w:val="00C63A17"/>
    <w:rsid w:val="00CA3082"/>
    <w:rsid w:val="00CA517C"/>
    <w:rsid w:val="00CE10D1"/>
    <w:rsid w:val="00D1352A"/>
    <w:rsid w:val="00D23E07"/>
    <w:rsid w:val="00DA4734"/>
    <w:rsid w:val="00DA50EB"/>
    <w:rsid w:val="00DB498E"/>
    <w:rsid w:val="00DD2B68"/>
    <w:rsid w:val="00DE1A32"/>
    <w:rsid w:val="00DE6BA9"/>
    <w:rsid w:val="00E11B5B"/>
    <w:rsid w:val="00E162A2"/>
    <w:rsid w:val="00E261D5"/>
    <w:rsid w:val="00E30EAB"/>
    <w:rsid w:val="00E77C59"/>
    <w:rsid w:val="00E94046"/>
    <w:rsid w:val="00E9793B"/>
    <w:rsid w:val="00ED7770"/>
    <w:rsid w:val="00EE08DA"/>
    <w:rsid w:val="00EE46EE"/>
    <w:rsid w:val="00EF6CC0"/>
    <w:rsid w:val="00F040EA"/>
    <w:rsid w:val="00F046D9"/>
    <w:rsid w:val="00F1073D"/>
    <w:rsid w:val="00F1403F"/>
    <w:rsid w:val="00F1647E"/>
    <w:rsid w:val="00F21F73"/>
    <w:rsid w:val="00F34114"/>
    <w:rsid w:val="00F55D75"/>
    <w:rsid w:val="00F60ED2"/>
    <w:rsid w:val="00F61133"/>
    <w:rsid w:val="00F70982"/>
    <w:rsid w:val="00F766AE"/>
    <w:rsid w:val="00F80247"/>
    <w:rsid w:val="00F80E27"/>
    <w:rsid w:val="00F86FCB"/>
    <w:rsid w:val="00F97E7B"/>
    <w:rsid w:val="00FC2441"/>
    <w:rsid w:val="00FC3B14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6FCB"/>
    <w:pPr>
      <w:keepNext/>
      <w:bidi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7170A3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BodyText2Char">
    <w:name w:val="Body Text 2 Char"/>
    <w:link w:val="BodyText2"/>
    <w:rsid w:val="007170A3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C235F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35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35F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235FD"/>
    <w:rPr>
      <w:sz w:val="22"/>
      <w:szCs w:val="22"/>
    </w:rPr>
  </w:style>
  <w:style w:type="paragraph" w:styleId="NoSpacing">
    <w:name w:val="No Spacing"/>
    <w:uiPriority w:val="1"/>
    <w:qFormat/>
    <w:rsid w:val="00B61565"/>
    <w:rPr>
      <w:sz w:val="22"/>
      <w:szCs w:val="22"/>
    </w:rPr>
  </w:style>
  <w:style w:type="character" w:customStyle="1" w:styleId="Heading1Char">
    <w:name w:val="Heading 1 Char"/>
    <w:link w:val="Heading1"/>
    <w:rsid w:val="00F86FCB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ListParagraph">
    <w:name w:val="List Paragraph"/>
    <w:basedOn w:val="Normal"/>
    <w:uiPriority w:val="34"/>
    <w:qFormat/>
    <w:rsid w:val="00B52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86FCB"/>
    <w:pPr>
      <w:keepNext/>
      <w:bidi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03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40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7170A3"/>
    <w:pPr>
      <w:bidi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character" w:customStyle="1" w:styleId="BodyText2Char">
    <w:name w:val="Body Text 2 Char"/>
    <w:link w:val="BodyText2"/>
    <w:rsid w:val="007170A3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C235F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35F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235F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235FD"/>
    <w:rPr>
      <w:sz w:val="22"/>
      <w:szCs w:val="22"/>
    </w:rPr>
  </w:style>
  <w:style w:type="paragraph" w:styleId="NoSpacing">
    <w:name w:val="No Spacing"/>
    <w:uiPriority w:val="1"/>
    <w:qFormat/>
    <w:rsid w:val="00B61565"/>
    <w:rPr>
      <w:sz w:val="22"/>
      <w:szCs w:val="22"/>
    </w:rPr>
  </w:style>
  <w:style w:type="character" w:customStyle="1" w:styleId="Heading1Char">
    <w:name w:val="Heading 1 Char"/>
    <w:link w:val="Heading1"/>
    <w:rsid w:val="00F86FC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B5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1086-8585-467D-9573-9CC44440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סימה בזק</dc:creator>
  <cp:lastModifiedBy>tairsw</cp:lastModifiedBy>
  <cp:revision>2</cp:revision>
  <cp:lastPrinted>2015-10-12T08:52:00Z</cp:lastPrinted>
  <dcterms:created xsi:type="dcterms:W3CDTF">2018-08-15T08:01:00Z</dcterms:created>
  <dcterms:modified xsi:type="dcterms:W3CDTF">2018-08-15T08:01:00Z</dcterms:modified>
</cp:coreProperties>
</file>