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33F4" w14:textId="659DF221" w:rsidR="007928C4" w:rsidRPr="000A4399" w:rsidRDefault="001045FB" w:rsidP="00E92523">
      <w:pPr>
        <w:bidi w:val="0"/>
        <w:spacing w:before="120" w:after="0" w:line="360" w:lineRule="auto"/>
        <w:jc w:val="center"/>
        <w:rPr>
          <w:rFonts w:ascii="Georgia" w:hAnsi="Georgia" w:cstheme="majorBidi"/>
          <w:b/>
          <w:bCs/>
          <w:color w:val="ED7D31" w:themeColor="accent2"/>
          <w:sz w:val="28"/>
          <w:szCs w:val="28"/>
        </w:rPr>
      </w:pPr>
      <w:bookmarkStart w:id="0" w:name="_Hlk60925738"/>
      <w:r w:rsidRPr="000A4399">
        <w:rPr>
          <w:rFonts w:ascii="Georgia" w:hAnsi="Georgia" w:cstheme="majorBidi"/>
          <w:b/>
          <w:bCs/>
          <w:color w:val="ED7D31" w:themeColor="accent2"/>
          <w:sz w:val="28"/>
          <w:szCs w:val="28"/>
        </w:rPr>
        <w:t>Rethinking Center and Periphery in the Abrahamic Religions</w:t>
      </w:r>
      <w:bookmarkEnd w:id="0"/>
    </w:p>
    <w:p w14:paraId="79CF374F" w14:textId="77777777" w:rsidR="00CD0FE7" w:rsidRPr="00CD0FE7" w:rsidRDefault="00CD0FE7" w:rsidP="00CD0FE7">
      <w:pPr>
        <w:bidi w:val="0"/>
        <w:spacing w:before="120" w:after="0"/>
        <w:jc w:val="center"/>
        <w:rPr>
          <w:rFonts w:ascii="Georgia" w:hAnsi="Georgia"/>
          <w:b/>
          <w:bCs/>
          <w:sz w:val="6"/>
          <w:szCs w:val="6"/>
        </w:rPr>
      </w:pPr>
    </w:p>
    <w:p w14:paraId="48E5DE94" w14:textId="3477FA6F" w:rsidR="002F722F" w:rsidRPr="00CD0FE7" w:rsidRDefault="005D27D4" w:rsidP="00CD0FE7">
      <w:pPr>
        <w:bidi w:val="0"/>
        <w:spacing w:before="120" w:after="0"/>
        <w:jc w:val="center"/>
        <w:rPr>
          <w:rFonts w:ascii="Georgia" w:hAnsi="Georgia"/>
          <w:b/>
          <w:bCs/>
        </w:rPr>
      </w:pPr>
      <w:r w:rsidRPr="00CD0FE7">
        <w:rPr>
          <w:rFonts w:ascii="Georgia" w:hAnsi="Georgia"/>
          <w:b/>
          <w:bCs/>
        </w:rPr>
        <w:t xml:space="preserve">The </w:t>
      </w:r>
      <w:hyperlink r:id="rId11" w:history="1">
        <w:r w:rsidRPr="00CD0FE7">
          <w:rPr>
            <w:rStyle w:val="Hyperlink"/>
            <w:rFonts w:ascii="Georgia" w:hAnsi="Georgia"/>
            <w:b/>
            <w:bCs/>
          </w:rPr>
          <w:t>Center for the Study of Conversion and Inter-Religious Encounters</w:t>
        </w:r>
      </w:hyperlink>
      <w:r w:rsidRPr="00CD0FE7">
        <w:rPr>
          <w:rFonts w:ascii="Georgia" w:hAnsi="Georgia"/>
          <w:b/>
          <w:bCs/>
        </w:rPr>
        <w:t xml:space="preserve"> (</w:t>
      </w:r>
      <w:proofErr w:type="spellStart"/>
      <w:r w:rsidRPr="00CD0FE7">
        <w:rPr>
          <w:rFonts w:ascii="Georgia" w:hAnsi="Georgia"/>
          <w:b/>
          <w:bCs/>
        </w:rPr>
        <w:t>CSoC</w:t>
      </w:r>
      <w:proofErr w:type="spellEnd"/>
      <w:r w:rsidR="002F722F" w:rsidRPr="00CD0FE7">
        <w:rPr>
          <w:rFonts w:ascii="Georgia" w:hAnsi="Georgia"/>
          <w:b/>
          <w:bCs/>
        </w:rPr>
        <w:t>)</w:t>
      </w:r>
    </w:p>
    <w:p w14:paraId="171EF0F5" w14:textId="77777777" w:rsidR="002F722F" w:rsidRPr="000A4399" w:rsidRDefault="002F722F" w:rsidP="002F722F">
      <w:pPr>
        <w:bidi w:val="0"/>
        <w:spacing w:before="120" w:after="0"/>
        <w:jc w:val="both"/>
        <w:rPr>
          <w:rFonts w:ascii="Georgia" w:hAnsi="Georgia"/>
        </w:rPr>
      </w:pPr>
      <w:proofErr w:type="spellStart"/>
      <w:r w:rsidRPr="000A4399">
        <w:rPr>
          <w:rFonts w:ascii="Georgia" w:hAnsi="Georgia"/>
        </w:rPr>
        <w:t>CSoC</w:t>
      </w:r>
      <w:proofErr w:type="spellEnd"/>
      <w:r w:rsidRPr="000A4399">
        <w:rPr>
          <w:rFonts w:ascii="Georgia" w:hAnsi="Georgia"/>
        </w:rPr>
        <w:t xml:space="preserve"> was founded by Prof. Haim Hames in 201</w:t>
      </w:r>
      <w:r>
        <w:rPr>
          <w:rFonts w:ascii="Georgia" w:hAnsi="Georgia"/>
        </w:rPr>
        <w:t>3</w:t>
      </w:r>
      <w:r w:rsidRPr="000A4399">
        <w:rPr>
          <w:rFonts w:ascii="Georgia" w:hAnsi="Georgia"/>
        </w:rPr>
        <w:t xml:space="preserve"> as an inter-university research center, supported by the Israeli Science Foundation (ISF) as an I-CORE (Israeli Centers of Research Excellence) project. The Center brought together scholars from different disciplines, and most of its work revolved around the study of religious conversion and the interactions between members of the Abrahamic faiths during the Middle Ages and the Early Modern period. In 2018, </w:t>
      </w:r>
      <w:proofErr w:type="spellStart"/>
      <w:r w:rsidRPr="000A4399">
        <w:rPr>
          <w:rFonts w:ascii="Georgia" w:hAnsi="Georgia"/>
        </w:rPr>
        <w:t>CSoC</w:t>
      </w:r>
      <w:proofErr w:type="spellEnd"/>
      <w:r w:rsidRPr="000A4399">
        <w:rPr>
          <w:rFonts w:ascii="Georgia" w:hAnsi="Georgia"/>
        </w:rPr>
        <w:t xml:space="preserve"> became a university center situated within the Faculty of Humanities and Social Sciences at Ben-Gurion University of the Negev and has since been led by Prof. Ephraim (Effie) Shoham-Steiner. Each academic year, the Center focuses on a particular theme, and ends with an international workshop or conference. In the summer of 2022 the </w:t>
      </w:r>
      <w:proofErr w:type="spellStart"/>
      <w:r w:rsidRPr="000A4399">
        <w:rPr>
          <w:rFonts w:ascii="Georgia" w:hAnsi="Georgia"/>
        </w:rPr>
        <w:t>CSoC</w:t>
      </w:r>
      <w:proofErr w:type="spellEnd"/>
      <w:r w:rsidRPr="000A4399">
        <w:rPr>
          <w:rFonts w:ascii="Georgia" w:hAnsi="Georgia"/>
        </w:rPr>
        <w:t xml:space="preserve"> group will meet with The Center for Abrahamic Religions from Oxford University in a workshop that will focus on the annual </w:t>
      </w:r>
      <w:proofErr w:type="gramStart"/>
      <w:r w:rsidRPr="000A4399">
        <w:rPr>
          <w:rFonts w:ascii="Georgia" w:hAnsi="Georgia"/>
        </w:rPr>
        <w:t>topic .</w:t>
      </w:r>
      <w:proofErr w:type="gramEnd"/>
      <w:r w:rsidRPr="000A4399">
        <w:rPr>
          <w:rFonts w:ascii="Georgia" w:hAnsi="Georgia"/>
        </w:rPr>
        <w:t xml:space="preserve"> </w:t>
      </w:r>
    </w:p>
    <w:p w14:paraId="190EB5FB" w14:textId="77777777" w:rsidR="002F722F" w:rsidRPr="002F722F" w:rsidRDefault="002F722F" w:rsidP="002F722F">
      <w:pPr>
        <w:bidi w:val="0"/>
        <w:spacing w:before="120" w:after="0"/>
        <w:jc w:val="both"/>
        <w:rPr>
          <w:rFonts w:ascii="Georgia" w:hAnsi="Georgia"/>
          <w:color w:val="0000FF"/>
          <w:u w:val="single"/>
        </w:rPr>
      </w:pPr>
      <w:r w:rsidRPr="000A4399">
        <w:rPr>
          <w:rFonts w:ascii="Georgia" w:hAnsi="Georgia"/>
        </w:rPr>
        <w:t xml:space="preserve">For more details on </w:t>
      </w:r>
      <w:proofErr w:type="spellStart"/>
      <w:r w:rsidRPr="000A4399">
        <w:rPr>
          <w:rFonts w:ascii="Georgia" w:hAnsi="Georgia"/>
        </w:rPr>
        <w:t>CSoC</w:t>
      </w:r>
      <w:r>
        <w:rPr>
          <w:rFonts w:ascii="Georgia" w:hAnsi="Georgia"/>
        </w:rPr>
        <w:t>’s</w:t>
      </w:r>
      <w:proofErr w:type="spellEnd"/>
      <w:r w:rsidRPr="000A4399">
        <w:rPr>
          <w:rFonts w:ascii="Georgia" w:hAnsi="Georgia"/>
        </w:rPr>
        <w:t xml:space="preserve"> activities</w:t>
      </w:r>
      <w:r>
        <w:rPr>
          <w:rFonts w:ascii="Georgia" w:hAnsi="Georgia"/>
        </w:rPr>
        <w:t>, visit our FB page</w:t>
      </w:r>
      <w:r w:rsidRPr="000A4399">
        <w:rPr>
          <w:rFonts w:ascii="Georgia" w:hAnsi="Georgia"/>
        </w:rPr>
        <w:t xml:space="preserve">: </w:t>
      </w:r>
      <w:hyperlink r:id="rId12" w:history="1">
        <w:r w:rsidRPr="000A4399">
          <w:rPr>
            <w:rStyle w:val="Hyperlink"/>
            <w:rFonts w:ascii="Georgia" w:hAnsi="Georgia"/>
          </w:rPr>
          <w:t>https://www.facebook.com/BGU.CSOC</w:t>
        </w:r>
      </w:hyperlink>
    </w:p>
    <w:p w14:paraId="646822E4" w14:textId="77777777" w:rsidR="002F722F" w:rsidRPr="000B4A93" w:rsidRDefault="002F722F" w:rsidP="002F722F">
      <w:pPr>
        <w:tabs>
          <w:tab w:val="left" w:pos="6260"/>
        </w:tabs>
        <w:bidi w:val="0"/>
        <w:rPr>
          <w:rFonts w:ascii="Georgia" w:hAnsi="Georgia"/>
        </w:rPr>
      </w:pPr>
      <w:r>
        <w:rPr>
          <w:rFonts w:ascii="Georgia" w:hAnsi="Georgia"/>
        </w:rPr>
        <w:tab/>
      </w:r>
    </w:p>
    <w:p w14:paraId="6898BF8E" w14:textId="0C7A3F95" w:rsidR="004E0AEB" w:rsidRPr="000A4399" w:rsidRDefault="004E0AEB" w:rsidP="002F722F">
      <w:pPr>
        <w:bidi w:val="0"/>
        <w:spacing w:before="120" w:after="0"/>
        <w:jc w:val="center"/>
        <w:rPr>
          <w:rFonts w:ascii="Georgia" w:hAnsi="Georgia"/>
          <w:rtl/>
        </w:rPr>
      </w:pPr>
      <w:r w:rsidRPr="000A4399">
        <w:rPr>
          <w:rFonts w:ascii="Georgia" w:hAnsi="Georgia"/>
          <w:b/>
          <w:bCs/>
        </w:rPr>
        <w:t>Rethinking Center and Periphery in the Abrahamic Religions – Theme for 2021-2022</w:t>
      </w:r>
    </w:p>
    <w:p w14:paraId="056E02A8" w14:textId="399C3D07" w:rsidR="004E0AEB" w:rsidRPr="000A4399" w:rsidRDefault="004E0AEB" w:rsidP="00D86E59">
      <w:pPr>
        <w:bidi w:val="0"/>
        <w:spacing w:before="120" w:after="0"/>
        <w:jc w:val="both"/>
        <w:rPr>
          <w:rFonts w:ascii="Georgia" w:hAnsi="Georgia"/>
        </w:rPr>
      </w:pPr>
      <w:r w:rsidRPr="000A4399">
        <w:rPr>
          <w:rFonts w:ascii="Georgia" w:hAnsi="Georgia"/>
        </w:rPr>
        <w:t xml:space="preserve">The theological and historical study of Abrahamic religions has granted a place of pride to the stable center, often expressing it in cosmic terms – as center of the world, gateway to heaven. While these may be geographical centers (Jerusalem, Mecca, Rome…), they are essentially centers of power and authority: seats of ecclesiastical hierarchies and cultic practice or, alternatively, classes and clergy seen as the bearers of the Heavenly Word. Scholars often describe how power, charisma, </w:t>
      </w:r>
      <w:proofErr w:type="gramStart"/>
      <w:r w:rsidRPr="000A4399">
        <w:rPr>
          <w:rFonts w:ascii="Georgia" w:hAnsi="Georgia"/>
        </w:rPr>
        <w:t>knowledge</w:t>
      </w:r>
      <w:proofErr w:type="gramEnd"/>
      <w:r w:rsidRPr="000A4399">
        <w:rPr>
          <w:rFonts w:ascii="Georgia" w:hAnsi="Georgia"/>
        </w:rPr>
        <w:t xml:space="preserve"> and values radiate from these socio</w:t>
      </w:r>
      <w:r w:rsidRPr="000A4399">
        <w:rPr>
          <w:rFonts w:ascii="Georgia" w:hAnsi="Georgia"/>
          <w:rtl/>
        </w:rPr>
        <w:t>-</w:t>
      </w:r>
      <w:r w:rsidRPr="000A4399">
        <w:rPr>
          <w:rFonts w:ascii="Georgia" w:hAnsi="Georgia"/>
        </w:rPr>
        <w:t>political centers to broader peripheries – through diffusion of learning, text and ecclesiastical hierarchies, circulation of canonical texts or relics, missionary activity or practices of pilgrimage that either draw the far-flung satellites into the orbit of the central religious shrine (</w:t>
      </w:r>
      <w:proofErr w:type="spellStart"/>
      <w:r w:rsidR="0056133A" w:rsidRPr="000A4399">
        <w:rPr>
          <w:rFonts w:ascii="Georgia" w:hAnsi="Georgia"/>
        </w:rPr>
        <w:t>á</w:t>
      </w:r>
      <w:r w:rsidRPr="000A4399">
        <w:rPr>
          <w:rFonts w:ascii="Georgia" w:hAnsi="Georgia"/>
        </w:rPr>
        <w:t>la</w:t>
      </w:r>
      <w:proofErr w:type="spellEnd"/>
      <w:r w:rsidRPr="000A4399">
        <w:rPr>
          <w:rFonts w:ascii="Georgia" w:hAnsi="Georgia"/>
        </w:rPr>
        <w:t xml:space="preserve"> Eliade) or magnetize believers to the ‘center out there’, in the wilderness (</w:t>
      </w:r>
      <w:r w:rsidR="0056133A" w:rsidRPr="000A4399">
        <w:rPr>
          <w:rFonts w:ascii="Georgia" w:hAnsi="Georgia"/>
          <w:rtl/>
        </w:rPr>
        <w:t>á</w:t>
      </w:r>
      <w:r w:rsidRPr="000A4399">
        <w:rPr>
          <w:rFonts w:ascii="Georgia" w:hAnsi="Georgia"/>
        </w:rPr>
        <w:t>la Turner).</w:t>
      </w:r>
      <w:r w:rsidR="00D86E59" w:rsidRPr="000A4399">
        <w:rPr>
          <w:rFonts w:ascii="Georgia" w:hAnsi="Georgia"/>
        </w:rPr>
        <w:t xml:space="preserve"> </w:t>
      </w:r>
      <w:r w:rsidRPr="000A4399">
        <w:rPr>
          <w:rFonts w:ascii="Georgia" w:hAnsi="Georgia"/>
        </w:rPr>
        <w:t xml:space="preserve">There is, however, much to be gained through a perspective that </w:t>
      </w:r>
      <w:r w:rsidR="00E45DD3" w:rsidRPr="000A4399">
        <w:rPr>
          <w:rFonts w:ascii="Georgia" w:hAnsi="Georgia"/>
        </w:rPr>
        <w:t>emphasizes</w:t>
      </w:r>
      <w:r w:rsidRPr="000A4399">
        <w:rPr>
          <w:rFonts w:ascii="Georgia" w:hAnsi="Georgia"/>
        </w:rPr>
        <w:t xml:space="preserve"> peripheries; that shows how alternative religious visions and movements </w:t>
      </w:r>
      <w:r w:rsidR="00E45DD3" w:rsidRPr="000A4399">
        <w:rPr>
          <w:rFonts w:ascii="Georgia" w:hAnsi="Georgia"/>
        </w:rPr>
        <w:t xml:space="preserve">from the margins </w:t>
      </w:r>
      <w:r w:rsidRPr="000A4399">
        <w:rPr>
          <w:rFonts w:ascii="Georgia" w:hAnsi="Georgia"/>
        </w:rPr>
        <w:t xml:space="preserve">conceive of the </w:t>
      </w:r>
      <w:proofErr w:type="gramStart"/>
      <w:r w:rsidRPr="000A4399">
        <w:rPr>
          <w:rFonts w:ascii="Georgia" w:hAnsi="Georgia"/>
        </w:rPr>
        <w:t>center, and</w:t>
      </w:r>
      <w:proofErr w:type="gramEnd"/>
      <w:r w:rsidRPr="000A4399">
        <w:rPr>
          <w:rFonts w:ascii="Georgia" w:hAnsi="Georgia"/>
        </w:rPr>
        <w:t xml:space="preserve"> react to the emanations of power and authority from there – adapting, subverting or revolting against its claims. </w:t>
      </w:r>
    </w:p>
    <w:p w14:paraId="6A7B2B70" w14:textId="5024F280" w:rsidR="00E45DD3" w:rsidRPr="000A4399" w:rsidRDefault="004E0AEB" w:rsidP="00D86E59">
      <w:pPr>
        <w:bidi w:val="0"/>
        <w:spacing w:before="120" w:after="0"/>
        <w:jc w:val="both"/>
        <w:rPr>
          <w:rFonts w:ascii="Georgia" w:hAnsi="Georgia"/>
        </w:rPr>
      </w:pPr>
      <w:r w:rsidRPr="000A4399">
        <w:rPr>
          <w:rFonts w:ascii="Georgia" w:hAnsi="Georgia"/>
        </w:rPr>
        <w:t xml:space="preserve">Under what conditions are such peripheral </w:t>
      </w:r>
      <w:r w:rsidR="00E45DD3" w:rsidRPr="000A4399">
        <w:rPr>
          <w:rFonts w:ascii="Georgia" w:hAnsi="Georgia"/>
        </w:rPr>
        <w:t xml:space="preserve">or marginal </w:t>
      </w:r>
      <w:r w:rsidRPr="000A4399">
        <w:rPr>
          <w:rFonts w:ascii="Georgia" w:hAnsi="Georgia"/>
        </w:rPr>
        <w:t>reactions cast out as heretical? When do they succeed in penetrating the center? When do they pose a challenge so formidable that they eventually</w:t>
      </w:r>
      <w:r w:rsidR="00D86E59" w:rsidRPr="000A4399">
        <w:rPr>
          <w:rFonts w:ascii="Georgia" w:hAnsi="Georgia"/>
        </w:rPr>
        <w:t xml:space="preserve"> u</w:t>
      </w:r>
      <w:r w:rsidRPr="000A4399">
        <w:rPr>
          <w:rFonts w:ascii="Georgia" w:hAnsi="Georgia"/>
        </w:rPr>
        <w:t xml:space="preserve">ndermine the old order, becoming the new center of a religion or religious movement? Under what conditions do peripheries become loci of conservative resistance to innovations and reforms initiated at the center? How are such forces transmitted or blocked by emissaries, mediators, </w:t>
      </w:r>
      <w:proofErr w:type="gramStart"/>
      <w:r w:rsidRPr="000A4399">
        <w:rPr>
          <w:rFonts w:ascii="Georgia" w:hAnsi="Georgia"/>
        </w:rPr>
        <w:t>gatekeepers</w:t>
      </w:r>
      <w:proofErr w:type="gramEnd"/>
      <w:r w:rsidRPr="000A4399">
        <w:rPr>
          <w:rFonts w:ascii="Georgia" w:hAnsi="Georgia"/>
        </w:rPr>
        <w:t xml:space="preserve"> and their networks? Do such mediators become agents of the center or</w:t>
      </w:r>
      <w:r w:rsidR="00E45DD3" w:rsidRPr="000A4399">
        <w:rPr>
          <w:rFonts w:ascii="Georgia" w:hAnsi="Georgia"/>
        </w:rPr>
        <w:t xml:space="preserve"> marginalized liminal</w:t>
      </w:r>
      <w:r w:rsidRPr="000A4399">
        <w:rPr>
          <w:rFonts w:ascii="Georgia" w:hAnsi="Georgia"/>
        </w:rPr>
        <w:t xml:space="preserve"> entities?</w:t>
      </w:r>
      <w:r w:rsidR="00D86E59" w:rsidRPr="000A4399">
        <w:rPr>
          <w:rFonts w:ascii="Georgia" w:hAnsi="Georgia"/>
        </w:rPr>
        <w:t xml:space="preserve"> </w:t>
      </w:r>
      <w:r w:rsidRPr="000A4399">
        <w:rPr>
          <w:rFonts w:ascii="Georgia" w:hAnsi="Georgia"/>
        </w:rPr>
        <w:t xml:space="preserve">Rethinking centers and peripheries can, we believe, offer a more dynamic view of </w:t>
      </w:r>
      <w:r w:rsidR="00E45DD3" w:rsidRPr="000A4399">
        <w:rPr>
          <w:rFonts w:ascii="Georgia" w:hAnsi="Georgia"/>
        </w:rPr>
        <w:t>phenomen</w:t>
      </w:r>
      <w:r w:rsidR="00075DFC" w:rsidRPr="000A4399">
        <w:rPr>
          <w:rFonts w:ascii="Georgia" w:hAnsi="Georgia"/>
        </w:rPr>
        <w:t>a</w:t>
      </w:r>
      <w:r w:rsidRPr="000A4399">
        <w:rPr>
          <w:rFonts w:ascii="Georgia" w:hAnsi="Georgia"/>
        </w:rPr>
        <w:t xml:space="preserve"> in the Abrahamic religions, highlighting the fluidity and mobility of people, ideas, objects, texts and practices, and the changes they undergo as they move back and forth. </w:t>
      </w:r>
    </w:p>
    <w:p w14:paraId="4E3BDDBB" w14:textId="4DDFF4CE" w:rsidR="000A4399" w:rsidRDefault="004E0AEB" w:rsidP="00CD0FE7">
      <w:pPr>
        <w:bidi w:val="0"/>
        <w:spacing w:before="120" w:after="0"/>
        <w:jc w:val="both"/>
        <w:rPr>
          <w:rFonts w:ascii="Georgia" w:hAnsi="Georgia"/>
          <w:b/>
          <w:bCs/>
        </w:rPr>
      </w:pPr>
      <w:r w:rsidRPr="000A4399">
        <w:rPr>
          <w:rFonts w:ascii="Georgia" w:hAnsi="Georgia"/>
        </w:rPr>
        <w:t xml:space="preserve">Moreover, it may encourage the critical (re-)reading of texts and previous scholarship that determined which sites were to be considered as centers, which sites as </w:t>
      </w:r>
      <w:r w:rsidR="00E45DD3" w:rsidRPr="000A4399">
        <w:rPr>
          <w:rFonts w:ascii="Georgia" w:hAnsi="Georgia"/>
        </w:rPr>
        <w:t xml:space="preserve">marginal </w:t>
      </w:r>
      <w:r w:rsidRPr="000A4399">
        <w:rPr>
          <w:rFonts w:ascii="Georgia" w:hAnsi="Georgia"/>
        </w:rPr>
        <w:t>peripheries, and how such assumptions evolved.</w:t>
      </w:r>
    </w:p>
    <w:sectPr w:rsidR="000A4399" w:rsidSect="002F722F">
      <w:headerReference w:type="default" r:id="rId13"/>
      <w:footerReference w:type="default" r:id="rId14"/>
      <w:pgSz w:w="11906" w:h="16838"/>
      <w:pgMar w:top="720" w:right="720" w:bottom="720" w:left="720" w:header="432"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A9A7" w14:textId="77777777" w:rsidR="00B65CC5" w:rsidRDefault="00B65CC5" w:rsidP="002504B6">
      <w:r>
        <w:separator/>
      </w:r>
    </w:p>
  </w:endnote>
  <w:endnote w:type="continuationSeparator" w:id="0">
    <w:p w14:paraId="2857BE1E" w14:textId="77777777" w:rsidR="00B65CC5" w:rsidRDefault="00B65CC5" w:rsidP="0025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4727" w14:textId="77777777" w:rsidR="002952B2" w:rsidRPr="002952B2" w:rsidRDefault="002952B2">
    <w:pPr>
      <w:rPr>
        <w:sz w:val="6"/>
        <w:szCs w:val="6"/>
      </w:rPr>
    </w:pPr>
  </w:p>
  <w:tbl>
    <w:tblPr>
      <w:bidiVisual/>
      <w:tblW w:w="9678" w:type="dxa"/>
      <w:tblInd w:w="33" w:type="dxa"/>
      <w:tblLook w:val="04A0" w:firstRow="1" w:lastRow="0" w:firstColumn="1" w:lastColumn="0" w:noHBand="0" w:noVBand="1"/>
    </w:tblPr>
    <w:tblGrid>
      <w:gridCol w:w="4341"/>
      <w:gridCol w:w="5337"/>
    </w:tblGrid>
    <w:tr w:rsidR="007A3B5F" w:rsidRPr="002952B2" w14:paraId="6CD2ED17" w14:textId="77777777" w:rsidTr="004E0AEB">
      <w:trPr>
        <w:trHeight w:val="1381"/>
      </w:trPr>
      <w:tc>
        <w:tcPr>
          <w:tcW w:w="4341" w:type="dxa"/>
          <w:shd w:val="clear" w:color="auto" w:fill="auto"/>
        </w:tcPr>
        <w:p w14:paraId="27347B5C" w14:textId="77777777" w:rsidR="007A3B5F" w:rsidRPr="002952B2" w:rsidRDefault="007A3B5F" w:rsidP="002C1D2F">
          <w:pPr>
            <w:pStyle w:val="Footer"/>
            <w:bidi w:val="0"/>
            <w:spacing w:after="0" w:line="240" w:lineRule="auto"/>
            <w:rPr>
              <w:b/>
              <w:bCs/>
              <w:color w:val="808080"/>
              <w:sz w:val="20"/>
              <w:szCs w:val="20"/>
            </w:rPr>
          </w:pPr>
          <w:r w:rsidRPr="002952B2">
            <w:rPr>
              <w:b/>
              <w:bCs/>
              <w:color w:val="808080"/>
              <w:sz w:val="20"/>
              <w:szCs w:val="20"/>
            </w:rPr>
            <w:t>R</w:t>
          </w:r>
          <w:r w:rsidR="00D3069A" w:rsidRPr="002952B2">
            <w:rPr>
              <w:b/>
              <w:bCs/>
              <w:color w:val="808080"/>
              <w:sz w:val="20"/>
              <w:szCs w:val="20"/>
            </w:rPr>
            <w:t>aya Even-</w:t>
          </w:r>
          <w:r w:rsidRPr="002952B2">
            <w:rPr>
              <w:b/>
              <w:bCs/>
              <w:color w:val="808080"/>
              <w:sz w:val="20"/>
              <w:szCs w:val="20"/>
            </w:rPr>
            <w:t>David</w:t>
          </w:r>
        </w:p>
        <w:p w14:paraId="236D4A3F" w14:textId="77777777" w:rsidR="00D3069A" w:rsidRPr="002952B2" w:rsidRDefault="007A3B5F" w:rsidP="002C1D2F">
          <w:pPr>
            <w:pStyle w:val="Footer"/>
            <w:bidi w:val="0"/>
            <w:spacing w:after="0" w:line="240" w:lineRule="auto"/>
            <w:rPr>
              <w:color w:val="808080"/>
              <w:sz w:val="20"/>
              <w:szCs w:val="20"/>
            </w:rPr>
          </w:pPr>
          <w:r w:rsidRPr="002952B2">
            <w:rPr>
              <w:color w:val="808080"/>
              <w:sz w:val="20"/>
              <w:szCs w:val="20"/>
            </w:rPr>
            <w:t>Administrat</w:t>
          </w:r>
          <w:r w:rsidR="00D3069A" w:rsidRPr="002952B2">
            <w:rPr>
              <w:color w:val="808080"/>
              <w:sz w:val="20"/>
              <w:szCs w:val="20"/>
            </w:rPr>
            <w:t>ive Manager</w:t>
          </w:r>
          <w:r w:rsidRPr="002952B2">
            <w:rPr>
              <w:color w:val="808080"/>
              <w:sz w:val="20"/>
              <w:szCs w:val="20"/>
            </w:rPr>
            <w:t>,</w:t>
          </w:r>
        </w:p>
        <w:p w14:paraId="34A0C046" w14:textId="77777777" w:rsidR="000B4A93" w:rsidRDefault="007A3B5F" w:rsidP="002C1D2F">
          <w:pPr>
            <w:pStyle w:val="Footer"/>
            <w:bidi w:val="0"/>
            <w:spacing w:after="0" w:line="240" w:lineRule="auto"/>
            <w:rPr>
              <w:color w:val="808080"/>
              <w:sz w:val="20"/>
              <w:szCs w:val="20"/>
            </w:rPr>
          </w:pPr>
          <w:r w:rsidRPr="002952B2">
            <w:rPr>
              <w:color w:val="808080"/>
              <w:sz w:val="20"/>
              <w:szCs w:val="20"/>
            </w:rPr>
            <w:t>Center for the Study of Conversion</w:t>
          </w:r>
          <w:r w:rsidR="000772D1" w:rsidRPr="002952B2">
            <w:rPr>
              <w:color w:val="808080"/>
              <w:sz w:val="20"/>
              <w:szCs w:val="20"/>
            </w:rPr>
            <w:t xml:space="preserve"> </w:t>
          </w:r>
          <w:r w:rsidRPr="002952B2">
            <w:rPr>
              <w:color w:val="808080"/>
              <w:sz w:val="20"/>
              <w:szCs w:val="20"/>
            </w:rPr>
            <w:t>and</w:t>
          </w:r>
        </w:p>
        <w:p w14:paraId="32C613DA" w14:textId="74E5F2CE" w:rsidR="007A3B5F" w:rsidRPr="002952B2" w:rsidRDefault="007A3B5F" w:rsidP="000B4A93">
          <w:pPr>
            <w:pStyle w:val="Footer"/>
            <w:bidi w:val="0"/>
            <w:spacing w:after="0" w:line="240" w:lineRule="auto"/>
            <w:rPr>
              <w:color w:val="808080"/>
              <w:sz w:val="20"/>
              <w:szCs w:val="20"/>
            </w:rPr>
          </w:pPr>
          <w:r w:rsidRPr="002952B2">
            <w:rPr>
              <w:color w:val="808080"/>
              <w:sz w:val="20"/>
              <w:szCs w:val="20"/>
            </w:rPr>
            <w:t>Inter-Religious Encounters</w:t>
          </w:r>
        </w:p>
        <w:p w14:paraId="73F4582D" w14:textId="77777777" w:rsidR="007A3B5F" w:rsidRPr="002952B2" w:rsidRDefault="00F53136" w:rsidP="002C1D2F">
          <w:pPr>
            <w:pStyle w:val="Footer"/>
            <w:bidi w:val="0"/>
            <w:spacing w:after="0" w:line="240" w:lineRule="auto"/>
            <w:rPr>
              <w:b/>
              <w:bCs/>
              <w:color w:val="808080"/>
              <w:sz w:val="20"/>
              <w:szCs w:val="20"/>
            </w:rPr>
          </w:pPr>
          <w:hyperlink r:id="rId1" w:history="1">
            <w:r w:rsidR="007A3B5F" w:rsidRPr="002952B2">
              <w:rPr>
                <w:rStyle w:val="Hyperlink"/>
                <w:color w:val="5B9BD5"/>
                <w:sz w:val="20"/>
                <w:szCs w:val="20"/>
              </w:rPr>
              <w:t>rayaED@bgu.ac.il</w:t>
            </w:r>
          </w:hyperlink>
          <w:r w:rsidR="007A3B5F" w:rsidRPr="002952B2">
            <w:rPr>
              <w:color w:val="808080"/>
              <w:sz w:val="20"/>
              <w:szCs w:val="20"/>
            </w:rPr>
            <w:t xml:space="preserve"> +972-8-64</w:t>
          </w:r>
          <w:r w:rsidR="007A3B5F" w:rsidRPr="002952B2">
            <w:rPr>
              <w:b/>
              <w:bCs/>
              <w:color w:val="808080"/>
              <w:sz w:val="20"/>
              <w:szCs w:val="20"/>
            </w:rPr>
            <w:t>28377</w:t>
          </w:r>
        </w:p>
      </w:tc>
      <w:tc>
        <w:tcPr>
          <w:tcW w:w="5337" w:type="dxa"/>
          <w:shd w:val="clear" w:color="auto" w:fill="auto"/>
        </w:tcPr>
        <w:p w14:paraId="7FE7A936" w14:textId="77777777" w:rsidR="007A3B5F" w:rsidRPr="002952B2" w:rsidRDefault="009C520E" w:rsidP="005D27D4">
          <w:pPr>
            <w:pStyle w:val="Footer"/>
            <w:bidi w:val="0"/>
            <w:spacing w:after="0" w:line="240" w:lineRule="auto"/>
            <w:rPr>
              <w:color w:val="808080"/>
              <w:sz w:val="20"/>
              <w:szCs w:val="20"/>
            </w:rPr>
          </w:pPr>
          <w:r w:rsidRPr="002952B2">
            <w:rPr>
              <w:b/>
              <w:bCs/>
              <w:color w:val="808080"/>
              <w:sz w:val="20"/>
              <w:szCs w:val="20"/>
            </w:rPr>
            <w:t>Prof</w:t>
          </w:r>
          <w:r w:rsidR="007A3B5F" w:rsidRPr="002952B2">
            <w:rPr>
              <w:b/>
              <w:bCs/>
              <w:color w:val="808080"/>
              <w:sz w:val="20"/>
              <w:szCs w:val="20"/>
            </w:rPr>
            <w:t>. Ephraim (Effie) Shoham-Steiner</w:t>
          </w:r>
          <w:r w:rsidR="007A3B5F" w:rsidRPr="002952B2">
            <w:rPr>
              <w:b/>
              <w:bCs/>
              <w:color w:val="808080"/>
              <w:sz w:val="20"/>
              <w:szCs w:val="20"/>
            </w:rPr>
            <w:br/>
          </w:r>
          <w:r w:rsidR="007A3B5F" w:rsidRPr="002952B2">
            <w:rPr>
              <w:color w:val="808080"/>
              <w:sz w:val="20"/>
              <w:szCs w:val="20"/>
            </w:rPr>
            <w:t>Director, Center for the Study of Conversion</w:t>
          </w:r>
        </w:p>
        <w:p w14:paraId="755367FD" w14:textId="77777777" w:rsidR="007A3B5F" w:rsidRPr="002952B2" w:rsidRDefault="007A3B5F" w:rsidP="002C1D2F">
          <w:pPr>
            <w:pStyle w:val="Footer"/>
            <w:bidi w:val="0"/>
            <w:spacing w:after="0" w:line="240" w:lineRule="auto"/>
            <w:rPr>
              <w:color w:val="808080"/>
              <w:sz w:val="20"/>
              <w:szCs w:val="20"/>
            </w:rPr>
          </w:pPr>
          <w:r w:rsidRPr="002952B2">
            <w:rPr>
              <w:color w:val="808080"/>
              <w:sz w:val="20"/>
              <w:szCs w:val="20"/>
            </w:rPr>
            <w:t>and Inter-Religious Encounters</w:t>
          </w:r>
        </w:p>
        <w:p w14:paraId="1BC939FE" w14:textId="1029D355" w:rsidR="005D27D4" w:rsidRPr="002952B2" w:rsidRDefault="005D27D4" w:rsidP="005D27D4">
          <w:pPr>
            <w:pStyle w:val="Footer"/>
            <w:bidi w:val="0"/>
            <w:spacing w:after="0" w:line="240" w:lineRule="auto"/>
            <w:rPr>
              <w:color w:val="808080"/>
              <w:sz w:val="20"/>
              <w:szCs w:val="20"/>
            </w:rPr>
          </w:pPr>
          <w:r w:rsidRPr="002952B2">
            <w:rPr>
              <w:color w:val="808080"/>
              <w:sz w:val="20"/>
              <w:szCs w:val="20"/>
            </w:rPr>
            <w:t>Jewish History Department</w:t>
          </w:r>
        </w:p>
        <w:p w14:paraId="11C27A1A" w14:textId="191662F0" w:rsidR="007A3B5F" w:rsidRPr="002952B2" w:rsidRDefault="00F53136" w:rsidP="002C1D2F">
          <w:pPr>
            <w:pStyle w:val="Footer"/>
            <w:bidi w:val="0"/>
            <w:spacing w:after="0" w:line="240" w:lineRule="auto"/>
            <w:rPr>
              <w:color w:val="808080"/>
              <w:sz w:val="20"/>
              <w:szCs w:val="20"/>
              <w:rtl/>
            </w:rPr>
          </w:pPr>
          <w:hyperlink r:id="rId2" w:history="1">
            <w:r w:rsidR="007A3B5F" w:rsidRPr="002952B2">
              <w:rPr>
                <w:rStyle w:val="Hyperlink"/>
                <w:color w:val="5B9BD5"/>
                <w:sz w:val="20"/>
                <w:szCs w:val="20"/>
              </w:rPr>
              <w:t>shohamst@bgu.ac.il</w:t>
            </w:r>
          </w:hyperlink>
          <w:r w:rsidR="007A3B5F" w:rsidRPr="002952B2">
            <w:rPr>
              <w:color w:val="808080"/>
              <w:sz w:val="20"/>
              <w:szCs w:val="20"/>
            </w:rPr>
            <w:t> |</w:t>
          </w:r>
          <w:r w:rsidR="004E0AEB">
            <w:rPr>
              <w:color w:val="808080"/>
              <w:sz w:val="20"/>
              <w:szCs w:val="20"/>
            </w:rPr>
            <w:t>+972-50-5969038</w:t>
          </w:r>
        </w:p>
      </w:tc>
    </w:tr>
  </w:tbl>
  <w:p w14:paraId="72DE8DA7" w14:textId="77777777" w:rsidR="007A3B5F" w:rsidRPr="005B3475" w:rsidRDefault="007A3B5F" w:rsidP="002C1D2F">
    <w:pPr>
      <w:pStyle w:val="Footer"/>
      <w:spacing w:after="0" w:line="240" w:lineRule="auto"/>
      <w:rPr>
        <w:color w:val="80808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7A3E" w14:textId="77777777" w:rsidR="00B65CC5" w:rsidRDefault="00B65CC5" w:rsidP="002504B6">
      <w:r>
        <w:separator/>
      </w:r>
    </w:p>
  </w:footnote>
  <w:footnote w:type="continuationSeparator" w:id="0">
    <w:p w14:paraId="11297A1A" w14:textId="77777777" w:rsidR="00B65CC5" w:rsidRDefault="00B65CC5" w:rsidP="0025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2E03" w14:textId="19274C56" w:rsidR="004C17E5" w:rsidRPr="00E92523" w:rsidRDefault="002F722F" w:rsidP="000A4399">
    <w:pPr>
      <w:pStyle w:val="Header"/>
      <w:rPr>
        <w:sz w:val="2"/>
        <w:szCs w:val="2"/>
        <w:rtl/>
      </w:rPr>
    </w:pPr>
    <w:r>
      <w:rPr>
        <w:noProof/>
      </w:rPr>
      <w:drawing>
        <wp:anchor distT="0" distB="0" distL="114300" distR="114300" simplePos="0" relativeHeight="251658240" behindDoc="0" locked="0" layoutInCell="1" allowOverlap="1" wp14:anchorId="770CBCD4" wp14:editId="58ECE71C">
          <wp:simplePos x="0" y="0"/>
          <wp:positionH relativeFrom="column">
            <wp:posOffset>5128895</wp:posOffset>
          </wp:positionH>
          <wp:positionV relativeFrom="paragraph">
            <wp:posOffset>20007</wp:posOffset>
          </wp:positionV>
          <wp:extent cx="1515745" cy="981075"/>
          <wp:effectExtent l="0" t="0" r="8255" b="0"/>
          <wp:wrapNone/>
          <wp:docPr id="2" name="Picture 5" descr="C:\Users\rayaed\Documents\CSoC\Media\Newsletter\BGU logo\BGU.sig.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yaed\Documents\CSoC\Media\Newsletter\BGU logo\BGU.sig.biling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399">
      <w:rPr>
        <w:noProof/>
      </w:rPr>
      <w:drawing>
        <wp:anchor distT="0" distB="0" distL="114300" distR="114300" simplePos="0" relativeHeight="251657216" behindDoc="0" locked="0" layoutInCell="1" allowOverlap="1" wp14:anchorId="432EA56B" wp14:editId="5EB362C8">
          <wp:simplePos x="0" y="0"/>
          <wp:positionH relativeFrom="margin">
            <wp:align>left</wp:align>
          </wp:positionH>
          <wp:positionV relativeFrom="paragraph">
            <wp:posOffset>-140970</wp:posOffset>
          </wp:positionV>
          <wp:extent cx="1308100" cy="1167765"/>
          <wp:effectExtent l="0" t="0" r="6350" b="0"/>
          <wp:wrapNone/>
          <wp:docPr id="1" name="Picture 3" descr="Center for the Study of 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 for the Study of Conversion"/>
                  <pic:cNvPicPr>
                    <a:picLocks noChangeAspect="1" noChangeArrowheads="1"/>
                  </pic:cNvPicPr>
                </pic:nvPicPr>
                <pic:blipFill>
                  <a:blip r:embed="rId2" r:link="rId3">
                    <a:extLst>
                      <a:ext uri="{28A0092B-C50C-407E-A947-70E740481C1C}">
                        <a14:useLocalDpi xmlns:a14="http://schemas.microsoft.com/office/drawing/2010/main" val="0"/>
                      </a:ext>
                    </a:extLst>
                  </a:blip>
                  <a:srcRect l="11769" r="14705" b="29100"/>
                  <a:stretch>
                    <a:fillRect/>
                  </a:stretch>
                </pic:blipFill>
                <pic:spPr bwMode="auto">
                  <a:xfrm>
                    <a:off x="0" y="0"/>
                    <a:ext cx="1308709" cy="1168309"/>
                  </a:xfrm>
                  <a:prstGeom prst="rect">
                    <a:avLst/>
                  </a:prstGeom>
                  <a:noFill/>
                  <a:ln>
                    <a:noFill/>
                  </a:ln>
                </pic:spPr>
              </pic:pic>
            </a:graphicData>
          </a:graphic>
          <wp14:sizeRelH relativeFrom="page">
            <wp14:pctWidth>0</wp14:pctWidth>
          </wp14:sizeRelH>
          <wp14:sizeRelV relativeFrom="page">
            <wp14:pctHeight>0</wp14:pctHeight>
          </wp14:sizeRelV>
        </wp:anchor>
      </w:drawing>
    </w:r>
    <w:r w:rsidR="00E92523">
      <w:rPr>
        <w:rtl/>
      </w:rPr>
      <w:tab/>
    </w:r>
    <w:r w:rsidR="00E92523">
      <w:rPr>
        <w:rtl/>
      </w:rPr>
      <w:tab/>
    </w:r>
    <w:r w:rsidR="00E92523">
      <w:rPr>
        <w:rtl/>
      </w:rPr>
      <w:tab/>
    </w:r>
  </w:p>
  <w:p w14:paraId="66DAD85E" w14:textId="77777777" w:rsidR="00E92523" w:rsidRDefault="00E92523" w:rsidP="00E92523">
    <w:pPr>
      <w:pStyle w:val="Header"/>
      <w:tabs>
        <w:tab w:val="clear" w:pos="4153"/>
        <w:tab w:val="clear" w:pos="8306"/>
        <w:tab w:val="left" w:pos="4643"/>
        <w:tab w:val="left" w:pos="5040"/>
        <w:tab w:val="left" w:pos="5501"/>
      </w:tabs>
      <w:rPr>
        <w:rtl/>
      </w:rPr>
    </w:pPr>
  </w:p>
  <w:p w14:paraId="74AB7F96" w14:textId="1BCEFE3B" w:rsidR="002C1D2F" w:rsidRDefault="002C1D2F" w:rsidP="009C520E">
    <w:pPr>
      <w:pStyle w:val="Header"/>
      <w:bidi w:val="0"/>
    </w:pPr>
  </w:p>
  <w:p w14:paraId="6EFBD3C1" w14:textId="77777777" w:rsidR="000A4399" w:rsidRDefault="000A4399" w:rsidP="000A439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68B"/>
    <w:multiLevelType w:val="hybridMultilevel"/>
    <w:tmpl w:val="D51C0B72"/>
    <w:lvl w:ilvl="0" w:tplc="0D640D38">
      <w:start w:val="1"/>
      <w:numFmt w:val="decimal"/>
      <w:lvlText w:val="%1."/>
      <w:lvlJc w:val="left"/>
      <w:pPr>
        <w:ind w:left="720" w:hanging="360"/>
      </w:pPr>
      <w:rPr>
        <w:lang w:bidi="he-IL"/>
      </w:rPr>
    </w:lvl>
    <w:lvl w:ilvl="1" w:tplc="6CE29F8E">
      <w:start w:val="1"/>
      <w:numFmt w:val="bullet"/>
      <w:lvlText w:val=""/>
      <w:lvlJc w:val="left"/>
      <w:pPr>
        <w:ind w:left="1440" w:hanging="360"/>
      </w:pPr>
      <w:rPr>
        <w:rFonts w:ascii="Symbol" w:hAnsi="Symbol" w:hint="default"/>
        <w:sz w:val="26"/>
        <w:szCs w:val="2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6B56FF"/>
    <w:multiLevelType w:val="hybridMultilevel"/>
    <w:tmpl w:val="373C70AA"/>
    <w:lvl w:ilvl="0" w:tplc="E032986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A4AAB"/>
    <w:multiLevelType w:val="hybridMultilevel"/>
    <w:tmpl w:val="87BC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938F1"/>
    <w:multiLevelType w:val="hybridMultilevel"/>
    <w:tmpl w:val="7B7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C0085"/>
    <w:multiLevelType w:val="hybridMultilevel"/>
    <w:tmpl w:val="2CD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53C4D"/>
    <w:multiLevelType w:val="hybridMultilevel"/>
    <w:tmpl w:val="8F4A8C2A"/>
    <w:lvl w:ilvl="0" w:tplc="0D640D38">
      <w:start w:val="1"/>
      <w:numFmt w:val="decimal"/>
      <w:lvlText w:val="%1."/>
      <w:lvlJc w:val="left"/>
      <w:pPr>
        <w:ind w:left="720" w:hanging="360"/>
      </w:pPr>
      <w:rPr>
        <w:lang w:bidi="he-I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D95983"/>
    <w:multiLevelType w:val="hybridMultilevel"/>
    <w:tmpl w:val="AD10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B6DA8"/>
    <w:multiLevelType w:val="hybridMultilevel"/>
    <w:tmpl w:val="9DC4E96A"/>
    <w:lvl w:ilvl="0" w:tplc="CFCEB9C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54576">
    <w:abstractNumId w:val="5"/>
  </w:num>
  <w:num w:numId="2" w16cid:durableId="138959124">
    <w:abstractNumId w:val="0"/>
  </w:num>
  <w:num w:numId="3" w16cid:durableId="421992348">
    <w:abstractNumId w:val="6"/>
  </w:num>
  <w:num w:numId="4" w16cid:durableId="775366546">
    <w:abstractNumId w:val="1"/>
  </w:num>
  <w:num w:numId="5" w16cid:durableId="166792715">
    <w:abstractNumId w:val="4"/>
  </w:num>
  <w:num w:numId="6" w16cid:durableId="1235361424">
    <w:abstractNumId w:val="2"/>
  </w:num>
  <w:num w:numId="7" w16cid:durableId="2064014023">
    <w:abstractNumId w:val="3"/>
  </w:num>
  <w:num w:numId="8" w16cid:durableId="1230265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D4"/>
    <w:rsid w:val="00011D5E"/>
    <w:rsid w:val="00020592"/>
    <w:rsid w:val="000233AF"/>
    <w:rsid w:val="00025F71"/>
    <w:rsid w:val="000405BB"/>
    <w:rsid w:val="0004069D"/>
    <w:rsid w:val="00041004"/>
    <w:rsid w:val="00047698"/>
    <w:rsid w:val="00055968"/>
    <w:rsid w:val="00067136"/>
    <w:rsid w:val="00075DFC"/>
    <w:rsid w:val="0007648D"/>
    <w:rsid w:val="000772D1"/>
    <w:rsid w:val="000A019A"/>
    <w:rsid w:val="000A1100"/>
    <w:rsid w:val="000A3F4F"/>
    <w:rsid w:val="000A4399"/>
    <w:rsid w:val="000B4A93"/>
    <w:rsid w:val="000C0514"/>
    <w:rsid w:val="000C13E2"/>
    <w:rsid w:val="000C37EE"/>
    <w:rsid w:val="000D0F97"/>
    <w:rsid w:val="000D3CF4"/>
    <w:rsid w:val="000D3F15"/>
    <w:rsid w:val="000E1D92"/>
    <w:rsid w:val="000E288A"/>
    <w:rsid w:val="000F3987"/>
    <w:rsid w:val="000F3B8D"/>
    <w:rsid w:val="00100353"/>
    <w:rsid w:val="001045FB"/>
    <w:rsid w:val="00110E47"/>
    <w:rsid w:val="00113D47"/>
    <w:rsid w:val="001152CB"/>
    <w:rsid w:val="001218EB"/>
    <w:rsid w:val="00130D1F"/>
    <w:rsid w:val="00145BB9"/>
    <w:rsid w:val="00146226"/>
    <w:rsid w:val="00147525"/>
    <w:rsid w:val="00151197"/>
    <w:rsid w:val="001514B3"/>
    <w:rsid w:val="001856A9"/>
    <w:rsid w:val="00186714"/>
    <w:rsid w:val="00192BB1"/>
    <w:rsid w:val="00192CEE"/>
    <w:rsid w:val="00195C75"/>
    <w:rsid w:val="001A0A21"/>
    <w:rsid w:val="001A5BF1"/>
    <w:rsid w:val="001C47F2"/>
    <w:rsid w:val="001D20C5"/>
    <w:rsid w:val="001D3C5B"/>
    <w:rsid w:val="001E0ECF"/>
    <w:rsid w:val="001F3780"/>
    <w:rsid w:val="001F393A"/>
    <w:rsid w:val="001F614A"/>
    <w:rsid w:val="002050AF"/>
    <w:rsid w:val="00207C1A"/>
    <w:rsid w:val="002146D1"/>
    <w:rsid w:val="002504B6"/>
    <w:rsid w:val="002515DD"/>
    <w:rsid w:val="00272D6E"/>
    <w:rsid w:val="00277009"/>
    <w:rsid w:val="002952B2"/>
    <w:rsid w:val="002A12AB"/>
    <w:rsid w:val="002A1BAA"/>
    <w:rsid w:val="002A4A6D"/>
    <w:rsid w:val="002B0A31"/>
    <w:rsid w:val="002B5154"/>
    <w:rsid w:val="002B6D50"/>
    <w:rsid w:val="002C1D2F"/>
    <w:rsid w:val="002C6ABC"/>
    <w:rsid w:val="002D13EF"/>
    <w:rsid w:val="002D38F5"/>
    <w:rsid w:val="002E0884"/>
    <w:rsid w:val="002F3B17"/>
    <w:rsid w:val="002F4D85"/>
    <w:rsid w:val="002F722F"/>
    <w:rsid w:val="003001C7"/>
    <w:rsid w:val="00311360"/>
    <w:rsid w:val="0032246C"/>
    <w:rsid w:val="003239D3"/>
    <w:rsid w:val="00323CF2"/>
    <w:rsid w:val="0034133A"/>
    <w:rsid w:val="00363AF7"/>
    <w:rsid w:val="00375D3A"/>
    <w:rsid w:val="003B3189"/>
    <w:rsid w:val="003D34D9"/>
    <w:rsid w:val="003D4320"/>
    <w:rsid w:val="0040627C"/>
    <w:rsid w:val="00407CA0"/>
    <w:rsid w:val="004134E3"/>
    <w:rsid w:val="0043542E"/>
    <w:rsid w:val="0043662C"/>
    <w:rsid w:val="004559EE"/>
    <w:rsid w:val="00456044"/>
    <w:rsid w:val="00481194"/>
    <w:rsid w:val="00482DC1"/>
    <w:rsid w:val="0048604A"/>
    <w:rsid w:val="004921B0"/>
    <w:rsid w:val="00494B02"/>
    <w:rsid w:val="00495BA5"/>
    <w:rsid w:val="004B76BC"/>
    <w:rsid w:val="004C17E5"/>
    <w:rsid w:val="004C1E77"/>
    <w:rsid w:val="004D588A"/>
    <w:rsid w:val="004E0AEB"/>
    <w:rsid w:val="004E5385"/>
    <w:rsid w:val="00507569"/>
    <w:rsid w:val="00507572"/>
    <w:rsid w:val="00507FD2"/>
    <w:rsid w:val="005246C9"/>
    <w:rsid w:val="005372BB"/>
    <w:rsid w:val="00537E6B"/>
    <w:rsid w:val="00543F9D"/>
    <w:rsid w:val="0056133A"/>
    <w:rsid w:val="00563602"/>
    <w:rsid w:val="00565A99"/>
    <w:rsid w:val="005877C9"/>
    <w:rsid w:val="005B1A5F"/>
    <w:rsid w:val="005B2B6D"/>
    <w:rsid w:val="005B3475"/>
    <w:rsid w:val="005B6BE5"/>
    <w:rsid w:val="005D27D4"/>
    <w:rsid w:val="005D2E1C"/>
    <w:rsid w:val="005D507B"/>
    <w:rsid w:val="005D6FAB"/>
    <w:rsid w:val="005D7D66"/>
    <w:rsid w:val="005F104B"/>
    <w:rsid w:val="006017B2"/>
    <w:rsid w:val="006139C2"/>
    <w:rsid w:val="00621556"/>
    <w:rsid w:val="00651A08"/>
    <w:rsid w:val="00661479"/>
    <w:rsid w:val="00664C40"/>
    <w:rsid w:val="0067777E"/>
    <w:rsid w:val="00677C4D"/>
    <w:rsid w:val="0068527C"/>
    <w:rsid w:val="006A6112"/>
    <w:rsid w:val="006B5908"/>
    <w:rsid w:val="006B79EE"/>
    <w:rsid w:val="006E555B"/>
    <w:rsid w:val="007105D6"/>
    <w:rsid w:val="00716889"/>
    <w:rsid w:val="00723865"/>
    <w:rsid w:val="0072597D"/>
    <w:rsid w:val="00730CBF"/>
    <w:rsid w:val="00736B27"/>
    <w:rsid w:val="00736BB2"/>
    <w:rsid w:val="0074108D"/>
    <w:rsid w:val="00764BF9"/>
    <w:rsid w:val="00764FA8"/>
    <w:rsid w:val="00773572"/>
    <w:rsid w:val="00780156"/>
    <w:rsid w:val="00782A8F"/>
    <w:rsid w:val="00784858"/>
    <w:rsid w:val="00784F71"/>
    <w:rsid w:val="007928C4"/>
    <w:rsid w:val="00793F74"/>
    <w:rsid w:val="00794916"/>
    <w:rsid w:val="007A3B5F"/>
    <w:rsid w:val="007B050F"/>
    <w:rsid w:val="007C4478"/>
    <w:rsid w:val="007C4552"/>
    <w:rsid w:val="007D39A5"/>
    <w:rsid w:val="007E0D47"/>
    <w:rsid w:val="007F4CC8"/>
    <w:rsid w:val="0080445A"/>
    <w:rsid w:val="0081495E"/>
    <w:rsid w:val="008154D5"/>
    <w:rsid w:val="0082569E"/>
    <w:rsid w:val="008264B2"/>
    <w:rsid w:val="008275AC"/>
    <w:rsid w:val="008316DC"/>
    <w:rsid w:val="00835ECF"/>
    <w:rsid w:val="00856978"/>
    <w:rsid w:val="00861D7B"/>
    <w:rsid w:val="00865D19"/>
    <w:rsid w:val="008733C6"/>
    <w:rsid w:val="00873BE8"/>
    <w:rsid w:val="00882C34"/>
    <w:rsid w:val="008842C1"/>
    <w:rsid w:val="00884DD1"/>
    <w:rsid w:val="008958CA"/>
    <w:rsid w:val="008B055F"/>
    <w:rsid w:val="008B748C"/>
    <w:rsid w:val="008C0C6A"/>
    <w:rsid w:val="008C7896"/>
    <w:rsid w:val="008D30E8"/>
    <w:rsid w:val="008E0899"/>
    <w:rsid w:val="008F4C99"/>
    <w:rsid w:val="008F5A86"/>
    <w:rsid w:val="00907AFA"/>
    <w:rsid w:val="0092175E"/>
    <w:rsid w:val="009271BB"/>
    <w:rsid w:val="0093126D"/>
    <w:rsid w:val="00933F4F"/>
    <w:rsid w:val="009537F8"/>
    <w:rsid w:val="00957C4C"/>
    <w:rsid w:val="00971BF6"/>
    <w:rsid w:val="009851E5"/>
    <w:rsid w:val="009974A9"/>
    <w:rsid w:val="009A00BF"/>
    <w:rsid w:val="009C2256"/>
    <w:rsid w:val="009C3518"/>
    <w:rsid w:val="009C520E"/>
    <w:rsid w:val="009D6986"/>
    <w:rsid w:val="009E6C20"/>
    <w:rsid w:val="00A179AC"/>
    <w:rsid w:val="00A22AB1"/>
    <w:rsid w:val="00A24147"/>
    <w:rsid w:val="00A34429"/>
    <w:rsid w:val="00A4269E"/>
    <w:rsid w:val="00A50F51"/>
    <w:rsid w:val="00A708DB"/>
    <w:rsid w:val="00A71CB0"/>
    <w:rsid w:val="00A7384C"/>
    <w:rsid w:val="00A823C9"/>
    <w:rsid w:val="00A85A7F"/>
    <w:rsid w:val="00A85ED7"/>
    <w:rsid w:val="00A96F4B"/>
    <w:rsid w:val="00AD35DF"/>
    <w:rsid w:val="00AD61DD"/>
    <w:rsid w:val="00AF1341"/>
    <w:rsid w:val="00B00996"/>
    <w:rsid w:val="00B00CFA"/>
    <w:rsid w:val="00B020A7"/>
    <w:rsid w:val="00B21596"/>
    <w:rsid w:val="00B243FA"/>
    <w:rsid w:val="00B33062"/>
    <w:rsid w:val="00B356C0"/>
    <w:rsid w:val="00B36D55"/>
    <w:rsid w:val="00B65CC5"/>
    <w:rsid w:val="00B711F3"/>
    <w:rsid w:val="00B832D9"/>
    <w:rsid w:val="00B85AA9"/>
    <w:rsid w:val="00B9590A"/>
    <w:rsid w:val="00BB0744"/>
    <w:rsid w:val="00BB1BAD"/>
    <w:rsid w:val="00BB5B55"/>
    <w:rsid w:val="00BC1524"/>
    <w:rsid w:val="00BD2006"/>
    <w:rsid w:val="00BD2932"/>
    <w:rsid w:val="00BD57BB"/>
    <w:rsid w:val="00BE6085"/>
    <w:rsid w:val="00BF1D0D"/>
    <w:rsid w:val="00BF6004"/>
    <w:rsid w:val="00C01C45"/>
    <w:rsid w:val="00C0642F"/>
    <w:rsid w:val="00C126FD"/>
    <w:rsid w:val="00C22E5B"/>
    <w:rsid w:val="00C5743E"/>
    <w:rsid w:val="00C65BF3"/>
    <w:rsid w:val="00C70E92"/>
    <w:rsid w:val="00C73293"/>
    <w:rsid w:val="00C74767"/>
    <w:rsid w:val="00C75F01"/>
    <w:rsid w:val="00C85C89"/>
    <w:rsid w:val="00C8721D"/>
    <w:rsid w:val="00C90119"/>
    <w:rsid w:val="00C91A70"/>
    <w:rsid w:val="00C93589"/>
    <w:rsid w:val="00CA0630"/>
    <w:rsid w:val="00CA1995"/>
    <w:rsid w:val="00CC6F6E"/>
    <w:rsid w:val="00CD0FE7"/>
    <w:rsid w:val="00CE14B7"/>
    <w:rsid w:val="00CE3D28"/>
    <w:rsid w:val="00D00E4B"/>
    <w:rsid w:val="00D037DC"/>
    <w:rsid w:val="00D07278"/>
    <w:rsid w:val="00D13B9D"/>
    <w:rsid w:val="00D16963"/>
    <w:rsid w:val="00D2527B"/>
    <w:rsid w:val="00D3069A"/>
    <w:rsid w:val="00D56F41"/>
    <w:rsid w:val="00D86E59"/>
    <w:rsid w:val="00D9681E"/>
    <w:rsid w:val="00DB12D4"/>
    <w:rsid w:val="00DB2700"/>
    <w:rsid w:val="00DB4312"/>
    <w:rsid w:val="00DC65C1"/>
    <w:rsid w:val="00DC6B58"/>
    <w:rsid w:val="00DD006B"/>
    <w:rsid w:val="00DD0C2F"/>
    <w:rsid w:val="00DD2E2B"/>
    <w:rsid w:val="00DD4370"/>
    <w:rsid w:val="00DE4981"/>
    <w:rsid w:val="00DE4EA6"/>
    <w:rsid w:val="00DE4FE0"/>
    <w:rsid w:val="00DE62AF"/>
    <w:rsid w:val="00DF6F47"/>
    <w:rsid w:val="00E03054"/>
    <w:rsid w:val="00E1060C"/>
    <w:rsid w:val="00E106AD"/>
    <w:rsid w:val="00E213F3"/>
    <w:rsid w:val="00E37621"/>
    <w:rsid w:val="00E438C2"/>
    <w:rsid w:val="00E45DD3"/>
    <w:rsid w:val="00E5244E"/>
    <w:rsid w:val="00E537DE"/>
    <w:rsid w:val="00E71205"/>
    <w:rsid w:val="00E721E9"/>
    <w:rsid w:val="00E74E1E"/>
    <w:rsid w:val="00E861D4"/>
    <w:rsid w:val="00E864A6"/>
    <w:rsid w:val="00E9091B"/>
    <w:rsid w:val="00E92523"/>
    <w:rsid w:val="00EB217C"/>
    <w:rsid w:val="00EB4D34"/>
    <w:rsid w:val="00EB7660"/>
    <w:rsid w:val="00ED165D"/>
    <w:rsid w:val="00ED3FB8"/>
    <w:rsid w:val="00EE794A"/>
    <w:rsid w:val="00EF3875"/>
    <w:rsid w:val="00F04E79"/>
    <w:rsid w:val="00F07713"/>
    <w:rsid w:val="00F16EFA"/>
    <w:rsid w:val="00F2247E"/>
    <w:rsid w:val="00F241FB"/>
    <w:rsid w:val="00F2478A"/>
    <w:rsid w:val="00F2638B"/>
    <w:rsid w:val="00F33A51"/>
    <w:rsid w:val="00F35D52"/>
    <w:rsid w:val="00F4198C"/>
    <w:rsid w:val="00F4670E"/>
    <w:rsid w:val="00F63305"/>
    <w:rsid w:val="00F633DF"/>
    <w:rsid w:val="00F668AD"/>
    <w:rsid w:val="00F81E22"/>
    <w:rsid w:val="00FA4012"/>
    <w:rsid w:val="00FA45BC"/>
    <w:rsid w:val="00FA5EBA"/>
    <w:rsid w:val="00FB0527"/>
    <w:rsid w:val="00FB097F"/>
    <w:rsid w:val="00FC485D"/>
    <w:rsid w:val="00FD065D"/>
    <w:rsid w:val="00FD77BA"/>
    <w:rsid w:val="00FD7DC4"/>
    <w:rsid w:val="00FF109D"/>
    <w:rsid w:val="00FF1E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2110E"/>
  <w15:chartTrackingRefBased/>
  <w15:docId w15:val="{3984883E-0D5D-4D0D-9E5B-BA709BA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D4"/>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outlineLvl w:val="0"/>
    </w:pPr>
    <w:rPr>
      <w:rFonts w:ascii="Calibri" w:eastAsia="Calibri" w:hAnsi="Calibri" w:cs="Arial"/>
      <w:b/>
      <w:bCs/>
      <w:sz w:val="24"/>
      <w:szCs w:val="24"/>
    </w:rPr>
  </w:style>
  <w:style w:type="paragraph" w:styleId="Heading3">
    <w:name w:val="heading 3"/>
    <w:basedOn w:val="Normal"/>
    <w:next w:val="Normal"/>
    <w:link w:val="Heading3Char"/>
    <w:semiHidden/>
    <w:unhideWhenUsed/>
    <w:qFormat/>
    <w:rsid w:val="00494B02"/>
    <w:pPr>
      <w:keepNext/>
      <w:spacing w:before="240" w:after="60"/>
      <w:outlineLvl w:val="2"/>
    </w:pPr>
    <w:rPr>
      <w:rFonts w:ascii="Cambria" w:eastAsia="Calibri"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libri" w:eastAsia="Calibri" w:hAnsi="Calibri" w:cs="Arial"/>
      <w:b/>
      <w:bCs/>
      <w:sz w:val="32"/>
      <w:szCs w:val="32"/>
    </w:rPr>
  </w:style>
  <w:style w:type="paragraph" w:styleId="BodyText">
    <w:name w:val="Body Text"/>
    <w:basedOn w:val="Normal"/>
    <w:rPr>
      <w:rFonts w:ascii="Calibri" w:eastAsia="Calibri" w:hAnsi="Calibri" w:cs="Arial"/>
      <w:b/>
      <w:bCs/>
    </w:rPr>
  </w:style>
  <w:style w:type="paragraph" w:styleId="BodyText2">
    <w:name w:val="Body Text 2"/>
    <w:basedOn w:val="Normal"/>
    <w:rPr>
      <w:rFonts w:ascii="Calibri" w:eastAsia="Calibri" w:hAnsi="Calibri" w:cs="Arial"/>
      <w:b/>
      <w:bCs/>
      <w:sz w:val="24"/>
      <w:szCs w:val="24"/>
    </w:rPr>
  </w:style>
  <w:style w:type="character" w:styleId="Hyperlink">
    <w:name w:val="Hyperlink"/>
    <w:rsid w:val="009851E5"/>
    <w:rPr>
      <w:color w:val="0000FF"/>
      <w:u w:val="single"/>
    </w:rPr>
  </w:style>
  <w:style w:type="paragraph" w:customStyle="1" w:styleId="Default">
    <w:name w:val="Default"/>
    <w:rsid w:val="00147525"/>
    <w:pPr>
      <w:autoSpaceDE w:val="0"/>
      <w:autoSpaceDN w:val="0"/>
      <w:adjustRightInd w:val="0"/>
    </w:pPr>
    <w:rPr>
      <w:color w:val="000000"/>
      <w:sz w:val="24"/>
      <w:szCs w:val="24"/>
    </w:rPr>
  </w:style>
  <w:style w:type="character" w:customStyle="1" w:styleId="Heading3Char">
    <w:name w:val="Heading 3 Char"/>
    <w:link w:val="Heading3"/>
    <w:semiHidden/>
    <w:rsid w:val="00494B02"/>
    <w:rPr>
      <w:rFonts w:ascii="Cambria" w:eastAsia="Times New Roman" w:hAnsi="Cambria" w:cs="Times New Roman"/>
      <w:b/>
      <w:bCs/>
      <w:sz w:val="26"/>
      <w:szCs w:val="26"/>
      <w:lang w:eastAsia="he-IL"/>
    </w:rPr>
  </w:style>
  <w:style w:type="paragraph" w:styleId="BalloonText">
    <w:name w:val="Balloon Text"/>
    <w:basedOn w:val="Normal"/>
    <w:link w:val="BalloonTextChar"/>
    <w:rsid w:val="00020592"/>
    <w:rPr>
      <w:rFonts w:ascii="Tahoma" w:eastAsia="Calibri" w:hAnsi="Tahoma" w:cs="Tahoma"/>
      <w:sz w:val="16"/>
      <w:szCs w:val="16"/>
    </w:rPr>
  </w:style>
  <w:style w:type="character" w:customStyle="1" w:styleId="BalloonTextChar">
    <w:name w:val="Balloon Text Char"/>
    <w:link w:val="BalloonText"/>
    <w:rsid w:val="00020592"/>
    <w:rPr>
      <w:rFonts w:ascii="Tahoma" w:hAnsi="Tahoma" w:cs="Tahoma"/>
      <w:sz w:val="16"/>
      <w:szCs w:val="16"/>
      <w:lang w:eastAsia="he-IL"/>
    </w:rPr>
  </w:style>
  <w:style w:type="paragraph" w:styleId="Header">
    <w:name w:val="header"/>
    <w:basedOn w:val="Normal"/>
    <w:link w:val="HeaderChar"/>
    <w:uiPriority w:val="99"/>
    <w:rsid w:val="002504B6"/>
    <w:pPr>
      <w:tabs>
        <w:tab w:val="center" w:pos="4153"/>
        <w:tab w:val="right" w:pos="8306"/>
      </w:tabs>
    </w:pPr>
    <w:rPr>
      <w:rFonts w:ascii="Calibri" w:eastAsia="Calibri" w:hAnsi="Calibri" w:cs="Arial"/>
    </w:rPr>
  </w:style>
  <w:style w:type="character" w:customStyle="1" w:styleId="HeaderChar">
    <w:name w:val="Header Char"/>
    <w:link w:val="Header"/>
    <w:uiPriority w:val="99"/>
    <w:rsid w:val="002504B6"/>
    <w:rPr>
      <w:rFonts w:cs="David"/>
      <w:sz w:val="26"/>
      <w:szCs w:val="26"/>
      <w:lang w:eastAsia="he-IL"/>
    </w:rPr>
  </w:style>
  <w:style w:type="paragraph" w:styleId="Footer">
    <w:name w:val="footer"/>
    <w:basedOn w:val="Normal"/>
    <w:link w:val="FooterChar"/>
    <w:uiPriority w:val="99"/>
    <w:rsid w:val="002504B6"/>
    <w:pPr>
      <w:tabs>
        <w:tab w:val="center" w:pos="4153"/>
        <w:tab w:val="right" w:pos="8306"/>
      </w:tabs>
    </w:pPr>
    <w:rPr>
      <w:rFonts w:ascii="Calibri" w:eastAsia="Calibri" w:hAnsi="Calibri" w:cs="Arial"/>
    </w:rPr>
  </w:style>
  <w:style w:type="character" w:customStyle="1" w:styleId="FooterChar">
    <w:name w:val="Footer Char"/>
    <w:link w:val="Footer"/>
    <w:uiPriority w:val="99"/>
    <w:rsid w:val="002504B6"/>
    <w:rPr>
      <w:rFonts w:cs="David"/>
      <w:sz w:val="26"/>
      <w:szCs w:val="26"/>
      <w:lang w:eastAsia="he-IL"/>
    </w:rPr>
  </w:style>
  <w:style w:type="paragraph" w:styleId="ListParagraph">
    <w:name w:val="List Paragraph"/>
    <w:basedOn w:val="Normal"/>
    <w:uiPriority w:val="34"/>
    <w:qFormat/>
    <w:rsid w:val="00E213F3"/>
    <w:pPr>
      <w:bidi w:val="0"/>
      <w:spacing w:after="160" w:line="259" w:lineRule="auto"/>
      <w:ind w:left="720"/>
      <w:contextualSpacing/>
    </w:pPr>
    <w:rPr>
      <w:rFonts w:ascii="Calibri" w:eastAsia="Calibri" w:hAnsi="Calibri" w:cs="Arial"/>
    </w:rPr>
  </w:style>
  <w:style w:type="table" w:styleId="TableGrid">
    <w:name w:val="Table Grid"/>
    <w:basedOn w:val="TableNormal"/>
    <w:rsid w:val="007A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47698"/>
    <w:rPr>
      <w:sz w:val="16"/>
      <w:szCs w:val="16"/>
    </w:rPr>
  </w:style>
  <w:style w:type="paragraph" w:styleId="CommentText">
    <w:name w:val="annotation text"/>
    <w:basedOn w:val="Normal"/>
    <w:link w:val="CommentTextChar"/>
    <w:rsid w:val="00047698"/>
    <w:pPr>
      <w:spacing w:line="240" w:lineRule="auto"/>
    </w:pPr>
    <w:rPr>
      <w:sz w:val="20"/>
      <w:szCs w:val="20"/>
    </w:rPr>
  </w:style>
  <w:style w:type="character" w:customStyle="1" w:styleId="CommentTextChar">
    <w:name w:val="Comment Text Char"/>
    <w:basedOn w:val="DefaultParagraphFont"/>
    <w:link w:val="CommentText"/>
    <w:rsid w:val="00047698"/>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47698"/>
    <w:rPr>
      <w:b/>
      <w:bCs/>
    </w:rPr>
  </w:style>
  <w:style w:type="character" w:customStyle="1" w:styleId="CommentSubjectChar">
    <w:name w:val="Comment Subject Char"/>
    <w:basedOn w:val="CommentTextChar"/>
    <w:link w:val="CommentSubject"/>
    <w:semiHidden/>
    <w:rsid w:val="0004769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23217">
      <w:bodyDiv w:val="1"/>
      <w:marLeft w:val="0"/>
      <w:marRight w:val="0"/>
      <w:marTop w:val="0"/>
      <w:marBottom w:val="0"/>
      <w:divBdr>
        <w:top w:val="none" w:sz="0" w:space="0" w:color="auto"/>
        <w:left w:val="none" w:sz="0" w:space="0" w:color="auto"/>
        <w:bottom w:val="none" w:sz="0" w:space="0" w:color="auto"/>
        <w:right w:val="none" w:sz="0" w:space="0" w:color="auto"/>
      </w:divBdr>
    </w:div>
    <w:div w:id="2045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BGU.CS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bgu.ac.il/en/csoc/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hohamst@bgu.ac.il" TargetMode="External"/><Relationship Id="rId1" Type="http://schemas.openxmlformats.org/officeDocument/2006/relationships/hyperlink" Target="mailto:rayaED@bgu.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in.bgu.ac.il/en/csoc/Side%20Banners/csoc.pn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aed\Documents\Custom%20Office%20Templates\CSoC%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מסמך" ma:contentTypeID="0x01010084270ED4400BA444B29974B6661BBE50" ma:contentTypeVersion="1" ma:contentTypeDescription="צור מסמך חדש." ma:contentTypeScope="" ma:versionID="61d536ddede9ad586cc34275fac886dd">
  <xsd:schema xmlns:xsd="http://www.w3.org/2001/XMLSchema" xmlns:xs="http://www.w3.org/2001/XMLSchema" xmlns:p="http://schemas.microsoft.com/office/2006/metadata/properties" xmlns:ns3="3fd1f8e8-d4eb-4fa9-9edf-90e13be718c2" targetNamespace="http://schemas.microsoft.com/office/2006/metadata/properties" ma:root="true" ma:fieldsID="fcf5f696791075dac38d5be3b5074702" ns3:_="">
    <xsd:import namespace="3fd1f8e8-d4eb-4fa9-9edf-90e13be718c2"/>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f8e8-d4eb-4fa9-9edf-90e13be718c2"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D60D8-F6C2-460A-B199-B67617E25C05}">
  <ds:schemaRefs>
    <ds:schemaRef ds:uri="http://schemas.microsoft.com/sharepoint/events"/>
  </ds:schemaRefs>
</ds:datastoreItem>
</file>

<file path=customXml/itemProps2.xml><?xml version="1.0" encoding="utf-8"?>
<ds:datastoreItem xmlns:ds="http://schemas.openxmlformats.org/officeDocument/2006/customXml" ds:itemID="{51A71EB0-3139-4CB4-8870-DA18F58B3055}">
  <ds:schemaRefs>
    <ds:schemaRef ds:uri="http://schemas.microsoft.com/sharepoint/v3/contenttype/forms"/>
  </ds:schemaRefs>
</ds:datastoreItem>
</file>

<file path=customXml/itemProps3.xml><?xml version="1.0" encoding="utf-8"?>
<ds:datastoreItem xmlns:ds="http://schemas.openxmlformats.org/officeDocument/2006/customXml" ds:itemID="{67BD7F36-7312-47A8-9D36-DF62CD988C59}">
  <ds:schemaRefs>
    <ds:schemaRef ds:uri="http://schemas.microsoft.com/office/2006/metadata/longProperties"/>
  </ds:schemaRefs>
</ds:datastoreItem>
</file>

<file path=customXml/itemProps4.xml><?xml version="1.0" encoding="utf-8"?>
<ds:datastoreItem xmlns:ds="http://schemas.openxmlformats.org/officeDocument/2006/customXml" ds:itemID="{96A52D36-CD1F-4C36-BBDA-9DCCB281D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f8e8-d4eb-4fa9-9edf-90e13be7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CSoC - ENGLISH</Template>
  <TotalTime>0</TotalTime>
  <Pages>1</Pages>
  <Words>611</Words>
  <Characters>3058</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בן-גוריון בנגב</vt:lpstr>
      <vt:lpstr>אוניברסיטת בן-גוריון בנגב</vt:lpstr>
    </vt:vector>
  </TitlesOfParts>
  <Company>BGU</Company>
  <LinksUpToDate>false</LinksUpToDate>
  <CharactersWithSpaces>3662</CharactersWithSpaces>
  <SharedDoc>false</SharedDoc>
  <HLinks>
    <vt:vector size="18" baseType="variant">
      <vt:variant>
        <vt:i4>7274507</vt:i4>
      </vt:variant>
      <vt:variant>
        <vt:i4>3</vt:i4>
      </vt:variant>
      <vt:variant>
        <vt:i4>0</vt:i4>
      </vt:variant>
      <vt:variant>
        <vt:i4>5</vt:i4>
      </vt:variant>
      <vt:variant>
        <vt:lpwstr>mailto:shohamst@bgu.ac.il</vt:lpwstr>
      </vt:variant>
      <vt:variant>
        <vt:lpwstr/>
      </vt:variant>
      <vt:variant>
        <vt:i4>983158</vt:i4>
      </vt:variant>
      <vt:variant>
        <vt:i4>0</vt:i4>
      </vt:variant>
      <vt:variant>
        <vt:i4>0</vt:i4>
      </vt:variant>
      <vt:variant>
        <vt:i4>5</vt:i4>
      </vt:variant>
      <vt:variant>
        <vt:lpwstr>mailto:rayaED@bgu.ac.il</vt:lpwstr>
      </vt:variant>
      <vt:variant>
        <vt:lpwstr/>
      </vt:variant>
      <vt:variant>
        <vt:i4>1507340</vt:i4>
      </vt:variant>
      <vt:variant>
        <vt:i4>-1</vt:i4>
      </vt:variant>
      <vt:variant>
        <vt:i4>2049</vt:i4>
      </vt:variant>
      <vt:variant>
        <vt:i4>1</vt:i4>
      </vt:variant>
      <vt:variant>
        <vt:lpwstr>http://in.bgu.ac.il/en/csoc/Side Banners/csoc.png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בן-גוריון בנגב</dc:title>
  <dc:subject/>
  <dc:creator>Raya</dc:creator>
  <cp:keywords/>
  <cp:lastModifiedBy>רעיה אבן דוד</cp:lastModifiedBy>
  <cp:revision>2</cp:revision>
  <cp:lastPrinted>2019-01-17T07:42:00Z</cp:lastPrinted>
  <dcterms:created xsi:type="dcterms:W3CDTF">2022-10-20T06:19:00Z</dcterms:created>
  <dcterms:modified xsi:type="dcterms:W3CDTF">2022-10-20T06:19:00Z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5RW434VQ3H3S-37-43</vt:lpwstr>
  </property>
  <property fmtid="{D5CDD505-2E9C-101B-9397-08002B2CF9AE}" pid="3" name="_dlc_DocIdItemGuid">
    <vt:lpwstr>2955968f-d1fa-4dfc-ac15-1453c52bcddc</vt:lpwstr>
  </property>
  <property fmtid="{D5CDD505-2E9C-101B-9397-08002B2CF9AE}" pid="4" name="_dlc_DocIdUrl">
    <vt:lpwstr>http://in.bgu.ac.il/acadsec/_layouts/DocIdRedir.aspx?ID=5RW434VQ3H3S-37-43, 5RW434VQ3H3S-37-43</vt:lpwstr>
  </property>
</Properties>
</file>