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01" w:rsidRDefault="00AA385C">
      <w:pPr>
        <w:spacing w:line="276" w:lineRule="auto"/>
        <w:jc w:val="center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noProof/>
          <w:sz w:val="22"/>
          <w:szCs w:val="22"/>
          <w:lang w:bidi="he-IL"/>
        </w:rPr>
        <w:drawing>
          <wp:inline distT="0" distB="0" distL="114300" distR="114300">
            <wp:extent cx="371475" cy="432435"/>
            <wp:effectExtent l="0" t="0" r="0" b="0"/>
            <wp:docPr id="1" name="image2.png" descr="BG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G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B01" w:rsidRDefault="00AA3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David" w:eastAsia="David" w:hAnsi="David" w:cs="David"/>
          <w:b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אוניברסיטת בן</w:t>
      </w:r>
      <w:r>
        <w:rPr>
          <w:rFonts w:ascii="David" w:eastAsia="David" w:hAnsi="David" w:cs="David"/>
          <w:b/>
          <w:sz w:val="22"/>
          <w:szCs w:val="22"/>
          <w:rtl/>
        </w:rPr>
        <w:t>-</w:t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גוריון בנגב</w:t>
      </w:r>
    </w:p>
    <w:p w:rsidR="009C1B01" w:rsidRDefault="00AA385C">
      <w:pPr>
        <w:spacing w:line="276" w:lineRule="auto"/>
        <w:jc w:val="center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הפקולטה למדעי הרוח והחברה</w:t>
      </w:r>
    </w:p>
    <w:p w:rsidR="009C1B01" w:rsidRDefault="00AA385C">
      <w:pPr>
        <w:spacing w:after="160" w:line="276" w:lineRule="auto"/>
        <w:jc w:val="center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noProof/>
          <w:sz w:val="22"/>
          <w:szCs w:val="22"/>
          <w:lang w:bidi="he-IL"/>
        </w:rPr>
        <w:drawing>
          <wp:inline distT="114300" distB="114300" distL="114300" distR="114300">
            <wp:extent cx="1366838" cy="98282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982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סמסטר א</w:t>
      </w:r>
      <w:r>
        <w:rPr>
          <w:rFonts w:ascii="David" w:eastAsia="David" w:hAnsi="David" w:cs="David"/>
          <w:sz w:val="22"/>
          <w:szCs w:val="22"/>
          <w:rtl/>
        </w:rPr>
        <w:t xml:space="preserve">' - 2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נק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>ז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תשע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ט </w:t>
      </w:r>
      <w:r>
        <w:rPr>
          <w:rFonts w:ascii="David" w:eastAsia="David" w:hAnsi="David" w:cs="David"/>
          <w:sz w:val="22"/>
          <w:szCs w:val="22"/>
          <w:rtl/>
        </w:rPr>
        <w:t>2018-19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קורס בחירה לתואר ראשון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התכנית לניהול וישוב סכסוכים</w:t>
      </w:r>
    </w:p>
    <w:p w:rsidR="009C1B01" w:rsidRDefault="009C1B01">
      <w:pPr>
        <w:pStyle w:val="a4"/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D92E3A" w:rsidRDefault="00AA385C" w:rsidP="00D92E3A">
      <w:pPr>
        <w:rPr>
          <w:rFonts w:ascii="Arial" w:hAnsi="Arial" w:cs="Arial"/>
          <w:color w:val="073763"/>
        </w:rPr>
      </w:pPr>
      <w:r w:rsidRPr="004109AD"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שם הקורס</w:t>
      </w:r>
      <w:r w:rsidRPr="004109AD">
        <w:rPr>
          <w:rFonts w:ascii="David" w:eastAsia="David" w:hAnsi="David" w:cs="David"/>
          <w:sz w:val="22"/>
          <w:szCs w:val="22"/>
        </w:rPr>
        <w:t xml:space="preserve">:   </w:t>
      </w:r>
      <w:r w:rsidR="00D92E3A" w:rsidRPr="004109AD">
        <w:rPr>
          <w:rFonts w:ascii="Arial" w:hAnsi="Arial" w:hint="cs"/>
          <w:color w:val="073763"/>
          <w:sz w:val="22"/>
          <w:szCs w:val="22"/>
          <w:rtl/>
        </w:rPr>
        <w:t xml:space="preserve">   </w:t>
      </w:r>
      <w:r w:rsidR="00D92E3A" w:rsidRPr="004109AD">
        <w:rPr>
          <w:rFonts w:ascii="Arial" w:hAnsi="Arial" w:cs="David" w:hint="cs"/>
          <w:b/>
          <w:bCs/>
          <w:color w:val="073763"/>
          <w:sz w:val="22"/>
          <w:szCs w:val="22"/>
          <w:u w:val="single"/>
          <w:shd w:val="clear" w:color="auto" w:fill="FFFF00"/>
          <w:rtl/>
          <w:lang w:bidi="he-IL"/>
        </w:rPr>
        <w:t>יישוב סכסוכים</w:t>
      </w:r>
      <w:r w:rsidR="00D92E3A" w:rsidRPr="004109AD">
        <w:rPr>
          <w:rFonts w:ascii="Arial" w:hAnsi="Arial" w:hint="cs"/>
          <w:b/>
          <w:bCs/>
          <w:color w:val="073763"/>
          <w:sz w:val="22"/>
          <w:szCs w:val="22"/>
          <w:u w:val="single"/>
          <w:shd w:val="clear" w:color="auto" w:fill="FFFF00"/>
          <w:rtl/>
          <w:lang w:bidi="he-IL"/>
        </w:rPr>
        <w:t xml:space="preserve"> </w:t>
      </w:r>
      <w:r w:rsidR="00D92E3A" w:rsidRPr="004109AD">
        <w:rPr>
          <w:rFonts w:ascii="Arial" w:hAnsi="Arial" w:cs="David" w:hint="cs"/>
          <w:b/>
          <w:bCs/>
          <w:color w:val="073763"/>
          <w:sz w:val="22"/>
          <w:szCs w:val="22"/>
          <w:u w:val="single"/>
          <w:shd w:val="clear" w:color="auto" w:fill="FFFF00"/>
          <w:rtl/>
          <w:lang w:bidi="he-IL"/>
        </w:rPr>
        <w:t>באמצעות פעילויות ספורט ופנאי</w:t>
      </w:r>
      <w:r w:rsidR="00D92E3A">
        <w:rPr>
          <w:rFonts w:ascii="Arial" w:hAnsi="Arial" w:cs="Arial"/>
          <w:color w:val="073763"/>
          <w:rtl/>
          <w:lang w:bidi="he-IL"/>
        </w:rPr>
        <w:t xml:space="preserve"> </w:t>
      </w:r>
    </w:p>
    <w:p w:rsidR="009C1B01" w:rsidRDefault="009C1B01">
      <w:pPr>
        <w:pStyle w:val="a4"/>
        <w:spacing w:after="120"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</w:p>
    <w:p w:rsidR="009C1B01" w:rsidRDefault="00AA385C" w:rsidP="004109AD">
      <w:pPr>
        <w:pStyle w:val="a4"/>
        <w:spacing w:after="120" w:line="276" w:lineRule="auto"/>
        <w:jc w:val="both"/>
        <w:rPr>
          <w:rFonts w:ascii="David" w:eastAsia="David" w:hAnsi="David" w:cs="David" w:hint="cs"/>
          <w:sz w:val="22"/>
          <w:szCs w:val="22"/>
          <w:highlight w:val="yellow"/>
          <w:lang w:bidi="he-IL"/>
        </w:rPr>
      </w:pP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מס</w:t>
      </w:r>
      <w:r>
        <w:rPr>
          <w:rFonts w:ascii="David" w:eastAsia="David" w:hAnsi="David" w:cs="David"/>
          <w:sz w:val="22"/>
          <w:szCs w:val="22"/>
          <w:u w:val="single"/>
          <w:rtl/>
        </w:rPr>
        <w:t xml:space="preserve">' </w:t>
      </w: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קורס</w:t>
      </w:r>
      <w:r>
        <w:rPr>
          <w:rFonts w:ascii="David" w:eastAsia="David" w:hAnsi="David" w:cs="David"/>
          <w:sz w:val="22"/>
          <w:szCs w:val="22"/>
          <w:u w:val="single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  </w:t>
      </w:r>
      <w:r w:rsidR="004109AD">
        <w:rPr>
          <w:rFonts w:ascii="David" w:eastAsia="David" w:hAnsi="David" w:cs="David" w:hint="cs"/>
          <w:sz w:val="22"/>
          <w:szCs w:val="22"/>
          <w:highlight w:val="yellow"/>
          <w:rtl/>
          <w:lang w:bidi="he-IL"/>
        </w:rPr>
        <w:t>172-1-0029</w:t>
      </w:r>
    </w:p>
    <w:p w:rsidR="009C1B01" w:rsidRDefault="00AA385C">
      <w:pPr>
        <w:spacing w:after="120" w:line="276" w:lineRule="auto"/>
        <w:jc w:val="both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שם המרצה</w:t>
      </w:r>
      <w:r>
        <w:rPr>
          <w:rFonts w:ascii="David" w:eastAsia="David" w:hAnsi="David" w:cs="David"/>
          <w:b/>
          <w:sz w:val="22"/>
          <w:szCs w:val="22"/>
          <w:rtl/>
        </w:rPr>
        <w:t xml:space="preserve">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פרופ</w:t>
      </w:r>
      <w:r>
        <w:rPr>
          <w:rFonts w:ascii="David" w:eastAsia="David" w:hAnsi="David" w:cs="David"/>
          <w:sz w:val="22"/>
          <w:szCs w:val="22"/>
          <w:rtl/>
        </w:rPr>
        <w:t xml:space="preserve">'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מייקל לייטנר</w:t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א</w:t>
      </w:r>
      <w:r>
        <w:rPr>
          <w:rFonts w:ascii="David" w:eastAsia="David" w:hAnsi="David" w:cs="David"/>
          <w:b/>
          <w:sz w:val="22"/>
          <w:szCs w:val="22"/>
          <w:rtl/>
        </w:rPr>
        <w:t>-</w:t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מייל</w:t>
      </w:r>
      <w:r>
        <w:rPr>
          <w:rFonts w:ascii="David" w:eastAsia="David" w:hAnsi="David" w:cs="David"/>
          <w:b/>
          <w:sz w:val="22"/>
          <w:szCs w:val="22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</w:t>
      </w:r>
      <w:hyperlink r:id="rId10">
        <w:r>
          <w:rPr>
            <w:rFonts w:ascii="David" w:eastAsia="David" w:hAnsi="David" w:cs="David"/>
            <w:sz w:val="22"/>
            <w:szCs w:val="22"/>
            <w:u w:val="single"/>
          </w:rPr>
          <w:t>mleitner@post.bgu.ac.il</w:t>
        </w:r>
      </w:hyperlink>
    </w:p>
    <w:p w:rsidR="009C1B01" w:rsidRDefault="00AA385C" w:rsidP="004109AD">
      <w:pPr>
        <w:spacing w:line="276" w:lineRule="auto"/>
        <w:jc w:val="both"/>
        <w:rPr>
          <w:rFonts w:ascii="David" w:eastAsia="David" w:hAnsi="David" w:cs="David" w:hint="cs"/>
          <w:sz w:val="22"/>
          <w:szCs w:val="22"/>
          <w:highlight w:val="yellow"/>
          <w:rtl/>
          <w:lang w:bidi="he-IL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שעות קבלה</w:t>
      </w:r>
      <w:r>
        <w:rPr>
          <w:rFonts w:ascii="David" w:eastAsia="David" w:hAnsi="David" w:cs="David"/>
          <w:b/>
          <w:sz w:val="22"/>
          <w:szCs w:val="22"/>
          <w:rtl/>
        </w:rPr>
        <w:t xml:space="preserve">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בתיאום מראש</w:t>
      </w:r>
      <w:r>
        <w:rPr>
          <w:rFonts w:ascii="David" w:eastAsia="David" w:hAnsi="David" w:cs="David"/>
          <w:sz w:val="22"/>
          <w:szCs w:val="22"/>
          <w:rtl/>
        </w:rPr>
        <w:t>.</w:t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חדר</w:t>
      </w:r>
      <w:r>
        <w:rPr>
          <w:rFonts w:ascii="David" w:eastAsia="David" w:hAnsi="David" w:cs="David"/>
          <w:b/>
          <w:sz w:val="22"/>
          <w:szCs w:val="22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  <w:highlight w:val="yellow"/>
        </w:rPr>
      </w:pPr>
    </w:p>
    <w:p w:rsidR="009C1B01" w:rsidRDefault="00AA385C">
      <w:pPr>
        <w:spacing w:after="160" w:line="276" w:lineRule="auto"/>
        <w:jc w:val="both"/>
        <w:rPr>
          <w:rFonts w:ascii="David" w:eastAsia="David" w:hAnsi="David" w:cs="David"/>
          <w:b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סקירה כללית</w:t>
      </w:r>
    </w:p>
    <w:p w:rsidR="009C1B01" w:rsidRDefault="00AA385C">
      <w:pPr>
        <w:spacing w:after="160" w:line="276" w:lineRule="auto"/>
        <w:jc w:val="both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בקורס יילמדו תיאוריות ומושגים סביב שימוש בפעילויות פנאי כטכניקת התערבות ליישוב סכסוכים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בין השאר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נסקור מחקרים הנוגעים ליישוב סכסוכים באמצעות תכניות ספורט בישראל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ישנו גם רכיב התנסותי בקורס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שדורש השתתפות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תכנון והובלת פעילויות פנאי שנועדו לאפשר יצירת ידידות ושיפור אווירה חברתית בכיתה ובקמפוס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מטרות הקורס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יכירו מגוון רחב של תכניות פעילויות פנאי בישראל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שמקרבות ערבים ויהודים למטרת שיפור היחסים בינם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יבינו את ההצלחות והאתגרים של תכניות אלו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בניסיונן להוביל לשינוי חיובי בעמדות ושינוי חברתי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ייחשפו לשיטות הטובות ביותר לבניית תכניות אלו והובלתן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יצליחו לקדם תכנית פעילויות פנאי בקמפוס עבור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במטרה למשוך מספר משתתפים מרבי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יוכלו לתכנן ולהוביל פעילויות פנאי שיאפשרו לסטודנטים ערבים ויהודים ליצור קשרים באווירה חיובית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יהיו מסוגלים לנהל מחקר להערכת ההשפעות של פעילויות פנאי על העמדות של סטודנטים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יהינו להשתתף בפעילויות פנאי עם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הנחיות ודרישות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הנוכחות חובה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יש להגיש משימות בכתב דרך דואר אלקטרוני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לכתובת</w:t>
      </w:r>
      <w:r>
        <w:rPr>
          <w:rFonts w:ascii="David" w:eastAsia="David" w:hAnsi="David" w:cs="David"/>
          <w:sz w:val="22"/>
          <w:szCs w:val="22"/>
          <w:rtl/>
        </w:rPr>
        <w:t xml:space="preserve">: </w:t>
      </w:r>
      <w:hyperlink r:id="rId11">
        <w:r>
          <w:rPr>
            <w:rFonts w:ascii="David" w:eastAsia="David" w:hAnsi="David" w:cs="David"/>
            <w:sz w:val="22"/>
            <w:szCs w:val="22"/>
            <w:u w:val="single"/>
          </w:rPr>
          <w:t>mleitner@post.bgu.ac.il</w:t>
        </w:r>
      </w:hyperlink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הציון בקורס יינתן באופן הבא</w:t>
      </w:r>
      <w:r>
        <w:rPr>
          <w:rFonts w:ascii="David" w:eastAsia="David" w:hAnsi="David" w:cs="David"/>
          <w:sz w:val="22"/>
          <w:szCs w:val="22"/>
        </w:rPr>
        <w:t>:</w:t>
      </w:r>
    </w:p>
    <w:p w:rsidR="009C1B01" w:rsidRDefault="004109AD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 w:hint="cs"/>
          <w:sz w:val="22"/>
          <w:szCs w:val="22"/>
          <w:rtl/>
          <w:lang w:bidi="he-IL"/>
        </w:rPr>
        <w:t>25%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 =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>נוכחות והשתתפות בדיונים ופעילויות בכיתה</w:t>
      </w:r>
      <w:r w:rsidR="00AA385C"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4109AD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 w:hint="cs"/>
          <w:sz w:val="22"/>
          <w:szCs w:val="22"/>
          <w:rtl/>
          <w:lang w:bidi="he-IL"/>
        </w:rPr>
        <w:t>40%</w:t>
      </w:r>
      <w:bookmarkStart w:id="0" w:name="_GoBack"/>
      <w:bookmarkEnd w:id="0"/>
      <w:r w:rsidR="00AA385C">
        <w:rPr>
          <w:rFonts w:ascii="David" w:eastAsia="David" w:hAnsi="David" w:cs="David"/>
          <w:sz w:val="22"/>
          <w:szCs w:val="22"/>
          <w:rtl/>
        </w:rPr>
        <w:t xml:space="preserve"> =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תכנון והובלת הפעילויות </w:t>
      </w:r>
      <w:r w:rsidR="00AA385C">
        <w:rPr>
          <w:rFonts w:ascii="David" w:eastAsia="David" w:hAnsi="David" w:cs="David"/>
          <w:sz w:val="22"/>
          <w:szCs w:val="22"/>
          <w:rtl/>
        </w:rPr>
        <w:t>(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תאריך הגשת התכניות לפעילויות 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-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עד 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11.11.18,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>יום לפני השיעור החמישי בקורס ב</w:t>
      </w:r>
      <w:r w:rsidR="00AA385C">
        <w:rPr>
          <w:rFonts w:ascii="David" w:eastAsia="David" w:hAnsi="David" w:cs="David"/>
          <w:sz w:val="22"/>
          <w:szCs w:val="22"/>
          <w:rtl/>
        </w:rPr>
        <w:t>-12.11.18.)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</w:rPr>
        <w:lastRenderedPageBreak/>
        <w:t xml:space="preserve">35% =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עבודה מסכמת להערכת התכנית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השתתפות אישית ותרומה לתכנית והמלצות לתכניות עתידיות ומחקר </w:t>
      </w:r>
      <w:r>
        <w:rPr>
          <w:rFonts w:ascii="David" w:eastAsia="David" w:hAnsi="David" w:cs="David"/>
          <w:sz w:val="22"/>
          <w:szCs w:val="22"/>
          <w:rtl/>
        </w:rPr>
        <w:t>(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תאריך הגשה </w:t>
      </w:r>
      <w:r>
        <w:rPr>
          <w:rFonts w:ascii="David" w:eastAsia="David" w:hAnsi="David" w:cs="David"/>
          <w:sz w:val="22"/>
          <w:szCs w:val="22"/>
          <w:rtl/>
        </w:rPr>
        <w:t xml:space="preserve">- 7.2.19,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חודש אחרי השיעור האחרון ב</w:t>
      </w:r>
      <w:r>
        <w:rPr>
          <w:rFonts w:ascii="David" w:eastAsia="David" w:hAnsi="David" w:cs="David"/>
          <w:sz w:val="22"/>
          <w:szCs w:val="22"/>
          <w:rtl/>
        </w:rPr>
        <w:t>-7.2.19)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מבנה הקורס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1: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הקדמה לקורס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הצגת הדרישות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היכרות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פעילויות חימום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סקירה של מחקר על עמדות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2: 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סקירה של תכניות 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>ספורט למען שלום</w:t>
      </w:r>
      <w:r>
        <w:rPr>
          <w:rFonts w:ascii="David" w:eastAsia="David" w:hAnsi="David" w:cs="David"/>
          <w:sz w:val="22"/>
          <w:szCs w:val="22"/>
          <w:rtl/>
        </w:rPr>
        <w:t xml:space="preserve">"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בישראל ומחקר עדכני על ההשפעה של התכניות האלו על עמדות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3: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נעסוק בתכנון משיכת משתתפים לתכנית הפעילות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נתחיל להשתמש בשאלונים וראיונות בנוגע לעמדות של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4: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המשך שימוש בשאלונים וראיונות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ומשיכת משתתפים לתכנית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5: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תכנון וארגון פעילויות פנאי בקמפוס לקירוב בין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שבועות </w:t>
      </w:r>
      <w:r>
        <w:rPr>
          <w:rFonts w:ascii="David" w:eastAsia="David" w:hAnsi="David" w:cs="David"/>
          <w:sz w:val="22"/>
          <w:szCs w:val="22"/>
          <w:rtl/>
        </w:rPr>
        <w:t xml:space="preserve">6-12: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יישום תכניות פעילויות הפנאי בקמפוס לקירוב סטודנטים ערבים ויהודים באווירה חיובית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ראיונות ותצפיות להערכת דרכים לשיפור יעילות התכנית וההשפעה שלה על עמדות המשתתפים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שבועות </w:t>
      </w:r>
      <w:r>
        <w:rPr>
          <w:rFonts w:ascii="David" w:eastAsia="David" w:hAnsi="David" w:cs="David"/>
          <w:sz w:val="22"/>
          <w:szCs w:val="22"/>
          <w:rtl/>
        </w:rPr>
        <w:t xml:space="preserve">12-13: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נשתמש בשאלונים ודיונים להערכת התכנית וההשפעה שלה על עמדות המשתתפים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9C1B01">
      <w:pPr>
        <w:spacing w:after="120"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b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ביבליוגרפיה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highlight w:val="white"/>
          <w:rtl/>
          <w:lang w:bidi="he-IL"/>
        </w:rPr>
        <w:t>קריאות חובה</w:t>
      </w:r>
      <w:r>
        <w:rPr>
          <w:rFonts w:ascii="David" w:eastAsia="David" w:hAnsi="David" w:cs="David"/>
          <w:sz w:val="22"/>
          <w:szCs w:val="22"/>
        </w:rPr>
        <w:t>:  #6, 12-16, 18, 19, 36, 40.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highlight w:val="white"/>
          <w:rtl/>
          <w:lang w:bidi="he-IL"/>
        </w:rPr>
        <w:t>קריאות רשות</w:t>
      </w:r>
      <w:r>
        <w:rPr>
          <w:rFonts w:ascii="David" w:eastAsia="David" w:hAnsi="David" w:cs="David"/>
          <w:sz w:val="22"/>
          <w:szCs w:val="22"/>
        </w:rPr>
        <w:t>:  #1-5, 7-11, 17, 20-35, 37-39, 41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1.Bairner</w:t>
      </w:r>
      <w:proofErr w:type="gramEnd"/>
      <w:r>
        <w:rPr>
          <w:rFonts w:ascii="David" w:eastAsia="David" w:hAnsi="David" w:cs="David"/>
          <w:sz w:val="22"/>
          <w:szCs w:val="22"/>
        </w:rPr>
        <w:t>, A. ‘Sport, the Northern Ireland Peace Process, and the Politics of Identity’. Journal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of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 Aggression, Conflict and Peace Research 5, no. 4 (2013): 220–9.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2.Coalter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F. (2010), “The politics of sport-for-development: limited focus </w:t>
      </w:r>
      <w:proofErr w:type="spellStart"/>
      <w:r>
        <w:rPr>
          <w:rFonts w:ascii="David" w:eastAsia="David" w:hAnsi="David" w:cs="David"/>
          <w:sz w:val="22"/>
          <w:szCs w:val="22"/>
        </w:rPr>
        <w:t>programmes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and broad gauge problems?”, International Review for the Sociology of Sport, Vol. 45 No. 3, pp. 295-314.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3.Ford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C. (2006), “Peace and hoops: basketball as a role player in sustainable </w:t>
      </w:r>
      <w:proofErr w:type="spellStart"/>
      <w:r>
        <w:rPr>
          <w:rFonts w:ascii="David" w:eastAsia="David" w:hAnsi="David" w:cs="David"/>
          <w:sz w:val="22"/>
          <w:szCs w:val="22"/>
        </w:rPr>
        <w:t>peacebuilding”,Willamette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Law Review, Vol. 42, p. 709.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4.Gal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R. (1996), Summary of 1994 Attitudinal Research, The Carmel Institute, </w:t>
      </w:r>
      <w:proofErr w:type="spellStart"/>
      <w:r>
        <w:rPr>
          <w:rFonts w:ascii="David" w:eastAsia="David" w:hAnsi="David" w:cs="David"/>
          <w:sz w:val="22"/>
          <w:szCs w:val="22"/>
        </w:rPr>
        <w:t>ZichronYaacov</w:t>
      </w:r>
      <w:proofErr w:type="spellEnd"/>
      <w:r>
        <w:rPr>
          <w:rFonts w:ascii="David" w:eastAsia="David" w:hAnsi="David" w:cs="David"/>
          <w:sz w:val="22"/>
          <w:szCs w:val="22"/>
        </w:rPr>
        <w:t>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5.Galily</w:t>
      </w:r>
      <w:proofErr w:type="gramEnd"/>
      <w:r>
        <w:rPr>
          <w:rFonts w:ascii="David" w:eastAsia="David" w:hAnsi="David" w:cs="David"/>
          <w:sz w:val="22"/>
          <w:szCs w:val="22"/>
        </w:rPr>
        <w:t>, Y. (2007), “Sport, politics &amp; society in Israel: the first fifty-five years”, Israel Affairs, Vol. 13 No. 3, pp. 515-28.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6.Galily</w:t>
      </w:r>
      <w:proofErr w:type="gramEnd"/>
      <w:r>
        <w:rPr>
          <w:rFonts w:ascii="David" w:eastAsia="David" w:hAnsi="David" w:cs="David"/>
          <w:sz w:val="22"/>
          <w:szCs w:val="22"/>
        </w:rPr>
        <w:t>, Y., M.J. Leitner, and P. Shimon. ‘The Effects of Three Israeli Sports Programs on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Attitudes of Arabs and Jews toward One Another’. Journal of Aggression, Conflict and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Peace Research 5, no. 4 (2013): 243–58.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lastRenderedPageBreak/>
        <w:t>7.Giulianotti</w:t>
      </w:r>
      <w:proofErr w:type="gramEnd"/>
      <w:r>
        <w:rPr>
          <w:rFonts w:ascii="David" w:eastAsia="David" w:hAnsi="David" w:cs="David"/>
          <w:sz w:val="22"/>
          <w:szCs w:val="22"/>
        </w:rPr>
        <w:t>, R. (2011), “Sport, peacemaking and conflict resolution: a contextual analysis and modelling of the sport, development and peace sector”, Ethnic and Racial Studies, Vol. 34 No. 2, pp. 207-28.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8.Hoberman</w:t>
      </w:r>
      <w:proofErr w:type="gramEnd"/>
      <w:r>
        <w:rPr>
          <w:rFonts w:ascii="David" w:eastAsia="David" w:hAnsi="David" w:cs="David"/>
          <w:sz w:val="22"/>
          <w:szCs w:val="22"/>
        </w:rPr>
        <w:t>, J. (2011), “The myth of sport as a peace promoting political force”, SAIS Review, Vol. 31 No. 1, pp. 17-29.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9.Jackson</w:t>
      </w:r>
      <w:proofErr w:type="gramEnd"/>
      <w:r>
        <w:rPr>
          <w:rFonts w:ascii="David" w:eastAsia="David" w:hAnsi="David" w:cs="David"/>
          <w:sz w:val="22"/>
          <w:szCs w:val="22"/>
        </w:rPr>
        <w:t>, J.W. ‘Contact Theory of Intergroup Hostility: A Review and Evaluation of the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Theoretical and Empirical Literature’. International Journal of Group Tensions 23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(1993): 43–65.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10</w:t>
      </w:r>
      <w:proofErr w:type="gramStart"/>
      <w:r>
        <w:rPr>
          <w:rFonts w:ascii="David" w:eastAsia="David" w:hAnsi="David" w:cs="David"/>
          <w:sz w:val="22"/>
          <w:szCs w:val="22"/>
        </w:rPr>
        <w:t>.Kamil</w:t>
      </w:r>
      <w:proofErr w:type="gramEnd"/>
      <w:r>
        <w:rPr>
          <w:rFonts w:ascii="David" w:eastAsia="David" w:hAnsi="David" w:cs="David"/>
          <w:sz w:val="22"/>
          <w:szCs w:val="22"/>
        </w:rPr>
        <w:t>, N. Information about the United Soccer for Peace Coaches Training. Tel Aviv: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spellStart"/>
      <w:r>
        <w:rPr>
          <w:rFonts w:ascii="David" w:eastAsia="David" w:hAnsi="David" w:cs="David"/>
          <w:sz w:val="22"/>
          <w:szCs w:val="22"/>
        </w:rPr>
        <w:t>Mifalot</w:t>
      </w:r>
      <w:proofErr w:type="spellEnd"/>
      <w:r>
        <w:rPr>
          <w:rFonts w:ascii="David" w:eastAsia="David" w:hAnsi="David" w:cs="David"/>
          <w:sz w:val="22"/>
          <w:szCs w:val="22"/>
        </w:rPr>
        <w:t>, 2012.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11</w:t>
      </w:r>
      <w:proofErr w:type="gramStart"/>
      <w:r>
        <w:rPr>
          <w:rFonts w:ascii="David" w:eastAsia="David" w:hAnsi="David" w:cs="David"/>
          <w:sz w:val="22"/>
          <w:szCs w:val="22"/>
        </w:rPr>
        <w:t>.Kidd</w:t>
      </w:r>
      <w:proofErr w:type="gramEnd"/>
      <w:r>
        <w:rPr>
          <w:rFonts w:ascii="David" w:eastAsia="David" w:hAnsi="David" w:cs="David"/>
          <w:sz w:val="22"/>
          <w:szCs w:val="22"/>
        </w:rPr>
        <w:t>, B. (2008), “A new social movement: sport for development and peace”, Sport in Society, Vol. 11 No. 4, pp. 370-80.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12</w:t>
      </w:r>
      <w:proofErr w:type="gramStart"/>
      <w:r>
        <w:rPr>
          <w:rFonts w:ascii="David" w:eastAsia="David" w:hAnsi="David" w:cs="David"/>
          <w:sz w:val="22"/>
          <w:szCs w:val="22"/>
        </w:rPr>
        <w:t>.Leitner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M.J., Y. </w:t>
      </w:r>
      <w:proofErr w:type="spellStart"/>
      <w:r>
        <w:rPr>
          <w:rFonts w:ascii="David" w:eastAsia="David" w:hAnsi="David" w:cs="David"/>
          <w:sz w:val="22"/>
          <w:szCs w:val="22"/>
        </w:rPr>
        <w:t>Galily</w:t>
      </w:r>
      <w:proofErr w:type="spellEnd"/>
      <w:r>
        <w:rPr>
          <w:rFonts w:ascii="David" w:eastAsia="David" w:hAnsi="David" w:cs="David"/>
          <w:sz w:val="22"/>
          <w:szCs w:val="22"/>
        </w:rPr>
        <w:t>, and P. Shimon. ‘The Effects of Peres Center for Peace Sports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Programs on the Attitudes of Arab and Jewish Israeli Youth’. Leadership and Policy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Quarterly 1, no. 2 (2012): 109–21.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13</w:t>
      </w:r>
      <w:proofErr w:type="gramStart"/>
      <w:r>
        <w:rPr>
          <w:rFonts w:ascii="David" w:eastAsia="David" w:hAnsi="David" w:cs="David"/>
          <w:sz w:val="22"/>
          <w:szCs w:val="22"/>
        </w:rPr>
        <w:t>.Leitner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M.J., Y. </w:t>
      </w:r>
      <w:proofErr w:type="spellStart"/>
      <w:r>
        <w:rPr>
          <w:rFonts w:ascii="David" w:eastAsia="David" w:hAnsi="David" w:cs="David"/>
          <w:sz w:val="22"/>
          <w:szCs w:val="22"/>
        </w:rPr>
        <w:t>Galily</w:t>
      </w:r>
      <w:proofErr w:type="spellEnd"/>
      <w:r>
        <w:rPr>
          <w:rFonts w:ascii="David" w:eastAsia="David" w:hAnsi="David" w:cs="David"/>
          <w:sz w:val="22"/>
          <w:szCs w:val="22"/>
        </w:rPr>
        <w:t>, and P. Shimon. ‘A Two-year Study on the Effects of the Friendship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Games on Attitudes towards Arabs and Jews’. World Leisure Journal 56, no. 3 (2014):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236–52.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14</w:t>
      </w:r>
      <w:proofErr w:type="gramStart"/>
      <w:r>
        <w:rPr>
          <w:rFonts w:ascii="David" w:eastAsia="David" w:hAnsi="David" w:cs="David"/>
          <w:sz w:val="22"/>
          <w:szCs w:val="22"/>
        </w:rPr>
        <w:t>.Leitner</w:t>
      </w:r>
      <w:proofErr w:type="gramEnd"/>
      <w:r>
        <w:rPr>
          <w:rFonts w:ascii="David" w:eastAsia="David" w:hAnsi="David" w:cs="David"/>
          <w:sz w:val="22"/>
          <w:szCs w:val="22"/>
        </w:rPr>
        <w:t>, M.J., and S.F. Leitner, eds. Israeli Life and Leisure in the 21st Century. Urbana, IL: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spellStart"/>
      <w:r>
        <w:rPr>
          <w:rFonts w:ascii="David" w:eastAsia="David" w:hAnsi="David" w:cs="David"/>
          <w:sz w:val="22"/>
          <w:szCs w:val="22"/>
        </w:rPr>
        <w:t>Sagamore</w:t>
      </w:r>
      <w:proofErr w:type="spellEnd"/>
      <w:r>
        <w:rPr>
          <w:rFonts w:ascii="David" w:eastAsia="David" w:hAnsi="David" w:cs="David"/>
          <w:sz w:val="22"/>
          <w:szCs w:val="22"/>
        </w:rPr>
        <w:t>, 2014. (Chapters 22-32).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15</w:t>
      </w:r>
      <w:proofErr w:type="gramStart"/>
      <w:r>
        <w:rPr>
          <w:rFonts w:ascii="David" w:eastAsia="David" w:hAnsi="David" w:cs="David"/>
          <w:sz w:val="22"/>
          <w:szCs w:val="22"/>
        </w:rPr>
        <w:t>.Leitner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M.J. and </w:t>
      </w:r>
      <w:proofErr w:type="spellStart"/>
      <w:r>
        <w:rPr>
          <w:rFonts w:ascii="David" w:eastAsia="David" w:hAnsi="David" w:cs="David"/>
          <w:sz w:val="22"/>
          <w:szCs w:val="22"/>
        </w:rPr>
        <w:t>Scher</w:t>
      </w:r>
      <w:proofErr w:type="spellEnd"/>
      <w:r>
        <w:rPr>
          <w:rFonts w:ascii="David" w:eastAsia="David" w:hAnsi="David" w:cs="David"/>
          <w:sz w:val="22"/>
          <w:szCs w:val="22"/>
        </w:rPr>
        <w:t>, G. (2000), “A follow-up study to peacemaking through recreation: the positive effects of intergenerational recreational programs on the attitudes of Israeli Arabs and Jews”, World Leisure and Recreation, Vol. 42 No. 1, pp. 33-7.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16</w:t>
      </w:r>
      <w:proofErr w:type="gramStart"/>
      <w:r>
        <w:rPr>
          <w:rFonts w:ascii="David" w:eastAsia="David" w:hAnsi="David" w:cs="David"/>
          <w:sz w:val="22"/>
          <w:szCs w:val="22"/>
        </w:rPr>
        <w:t>.Leitner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M., </w:t>
      </w:r>
      <w:proofErr w:type="spellStart"/>
      <w:r>
        <w:rPr>
          <w:rFonts w:ascii="David" w:eastAsia="David" w:hAnsi="David" w:cs="David"/>
          <w:sz w:val="22"/>
          <w:szCs w:val="22"/>
        </w:rPr>
        <w:t>Scher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, G. and </w:t>
      </w:r>
      <w:proofErr w:type="spellStart"/>
      <w:r>
        <w:rPr>
          <w:rFonts w:ascii="David" w:eastAsia="David" w:hAnsi="David" w:cs="David"/>
          <w:sz w:val="22"/>
          <w:szCs w:val="22"/>
        </w:rPr>
        <w:t>Shuval</w:t>
      </w:r>
      <w:proofErr w:type="spellEnd"/>
      <w:r>
        <w:rPr>
          <w:rFonts w:ascii="David" w:eastAsia="David" w:hAnsi="David" w:cs="David"/>
          <w:sz w:val="22"/>
          <w:szCs w:val="22"/>
        </w:rPr>
        <w:t>, K. (1999), “Peace-making through recreation: the positive effects of intergenerational activities on the attitudes of Israeli Arabs and Jews toward each other”, World Leisure &amp; Recreation, Vol. 41 No. 2, pp. 25-9.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17</w:t>
      </w:r>
      <w:proofErr w:type="gramStart"/>
      <w:r>
        <w:rPr>
          <w:rFonts w:ascii="David" w:eastAsia="David" w:hAnsi="David" w:cs="David"/>
          <w:sz w:val="22"/>
          <w:szCs w:val="22"/>
        </w:rPr>
        <w:t>.Levermore</w:t>
      </w:r>
      <w:proofErr w:type="gramEnd"/>
      <w:r>
        <w:rPr>
          <w:rFonts w:ascii="David" w:eastAsia="David" w:hAnsi="David" w:cs="David"/>
          <w:sz w:val="22"/>
          <w:szCs w:val="22"/>
        </w:rPr>
        <w:t>, R. (2008), “Sport a new engine of development?”, Progress in Development Studies, Vol. 8 No. 2, pp. 183-90.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18.Lidor, R. and Blumenstein, B. (2011), “Working with adolescent soccer and basketball players from conflicting cultures – a three-dimensional consultation approach”, Journal of Sport and Social Issues, Vol. 35 No. 3, pp. 229-45.</w:t>
      </w:r>
    </w:p>
    <w:p w:rsidR="009C1B01" w:rsidRDefault="009C1B01">
      <w:pPr>
        <w:spacing w:after="160"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jc w:val="both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 xml:space="preserve">19. Litvak-Hirsch, T., Y. </w:t>
      </w:r>
      <w:proofErr w:type="spellStart"/>
      <w:r>
        <w:rPr>
          <w:rFonts w:ascii="David" w:eastAsia="David" w:hAnsi="David" w:cs="David"/>
          <w:sz w:val="22"/>
          <w:szCs w:val="22"/>
        </w:rPr>
        <w:t>Galily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and M.J. Leitner (2015). </w:t>
      </w:r>
      <w:proofErr w:type="gramStart"/>
      <w:r>
        <w:rPr>
          <w:rFonts w:ascii="David" w:eastAsia="David" w:hAnsi="David" w:cs="David"/>
          <w:sz w:val="22"/>
          <w:szCs w:val="22"/>
        </w:rPr>
        <w:t>“ Evaluating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 Conflict  Mitigation and Health Improvement Through Soccer:  A </w:t>
      </w:r>
      <w:proofErr w:type="spellStart"/>
      <w:r>
        <w:rPr>
          <w:rFonts w:ascii="David" w:eastAsia="David" w:hAnsi="David" w:cs="David"/>
          <w:sz w:val="22"/>
          <w:szCs w:val="22"/>
        </w:rPr>
        <w:t>Twoo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-Year Study of </w:t>
      </w:r>
      <w:proofErr w:type="spellStart"/>
      <w:r>
        <w:rPr>
          <w:rFonts w:ascii="David" w:eastAsia="David" w:hAnsi="David" w:cs="David"/>
          <w:sz w:val="22"/>
          <w:szCs w:val="22"/>
        </w:rPr>
        <w:t>Mifalot’s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“United Soccer for Peace” Program”, Soccer and Society, </w:t>
      </w:r>
      <w:hyperlink r:id="rId12">
        <w:r>
          <w:rPr>
            <w:rFonts w:ascii="David" w:eastAsia="David" w:hAnsi="David" w:cs="David"/>
            <w:sz w:val="22"/>
            <w:szCs w:val="22"/>
            <w:u w:val="single"/>
          </w:rPr>
          <w:t>http://dx.doi.org/10.1080/14660970.2015.1082766</w:t>
        </w:r>
      </w:hyperlink>
    </w:p>
    <w:p w:rsidR="009C1B01" w:rsidRDefault="009C1B01">
      <w:pPr>
        <w:spacing w:after="160"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20</w:t>
      </w:r>
      <w:proofErr w:type="gramStart"/>
      <w:r>
        <w:rPr>
          <w:rFonts w:ascii="David" w:eastAsia="David" w:hAnsi="David" w:cs="David"/>
          <w:sz w:val="22"/>
          <w:szCs w:val="22"/>
        </w:rPr>
        <w:t>.Malcolm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D. ‘Cricket, Violence and Social Conflict: An </w:t>
      </w:r>
      <w:proofErr w:type="spellStart"/>
      <w:r>
        <w:rPr>
          <w:rFonts w:ascii="David" w:eastAsia="David" w:hAnsi="David" w:cs="David"/>
          <w:sz w:val="22"/>
          <w:szCs w:val="22"/>
        </w:rPr>
        <w:t>Eliasian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Examination’. Journal of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Aggression, Conflict and Peace Research 5, no. 4 (2013): 211–9.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21</w:t>
      </w:r>
      <w:proofErr w:type="gramStart"/>
      <w:r>
        <w:rPr>
          <w:rFonts w:ascii="David" w:eastAsia="David" w:hAnsi="David" w:cs="David"/>
          <w:sz w:val="22"/>
          <w:szCs w:val="22"/>
        </w:rPr>
        <w:t>.Maoz</w:t>
      </w:r>
      <w:proofErr w:type="gramEnd"/>
      <w:r>
        <w:rPr>
          <w:rFonts w:ascii="David" w:eastAsia="David" w:hAnsi="David" w:cs="David"/>
          <w:sz w:val="22"/>
          <w:szCs w:val="22"/>
        </w:rPr>
        <w:t>, I. ‘Power Relations in Intergroup Encounters: A Case Study of Jewish–Arab Encounters in Israel’. International Journal of Intercultural Relations 24, no. 2 (2000): 259–77.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22</w:t>
      </w:r>
      <w:proofErr w:type="gramStart"/>
      <w:r>
        <w:rPr>
          <w:rFonts w:ascii="David" w:eastAsia="David" w:hAnsi="David" w:cs="David"/>
          <w:sz w:val="22"/>
          <w:szCs w:val="22"/>
        </w:rPr>
        <w:t>.Maoz</w:t>
      </w:r>
      <w:proofErr w:type="gramEnd"/>
      <w:r>
        <w:rPr>
          <w:rFonts w:ascii="David" w:eastAsia="David" w:hAnsi="David" w:cs="David"/>
          <w:sz w:val="22"/>
          <w:szCs w:val="22"/>
        </w:rPr>
        <w:t>, I. ‘Coexistence is in the Eye of the Beholder: Evaluating Intergroup Encounter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Interventions between Jews and Arabs in Israel’. Journal of Social Issues 60, no. 2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(2004): 437–52.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23</w:t>
      </w:r>
      <w:proofErr w:type="gramStart"/>
      <w:r>
        <w:rPr>
          <w:rFonts w:ascii="David" w:eastAsia="David" w:hAnsi="David" w:cs="David"/>
          <w:sz w:val="22"/>
          <w:szCs w:val="22"/>
        </w:rPr>
        <w:t>.Rookwood</w:t>
      </w:r>
      <w:proofErr w:type="gramEnd"/>
      <w:r>
        <w:rPr>
          <w:rFonts w:ascii="David" w:eastAsia="David" w:hAnsi="David" w:cs="David"/>
          <w:sz w:val="22"/>
          <w:szCs w:val="22"/>
        </w:rPr>
        <w:t>, J. (2008), “Soccer for peace and social development”, Peace Review: A Journal of Social Justice, Vol. 20 No. 4, pp. 471-9.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24</w:t>
      </w:r>
      <w:proofErr w:type="gramStart"/>
      <w:r>
        <w:rPr>
          <w:rFonts w:ascii="David" w:eastAsia="David" w:hAnsi="David" w:cs="David"/>
          <w:sz w:val="22"/>
          <w:szCs w:val="22"/>
        </w:rPr>
        <w:t>.Rookwood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J. ‘Building from </w:t>
      </w:r>
      <w:proofErr w:type="spellStart"/>
      <w:r>
        <w:rPr>
          <w:rFonts w:ascii="David" w:eastAsia="David" w:hAnsi="David" w:cs="David"/>
          <w:sz w:val="22"/>
          <w:szCs w:val="22"/>
        </w:rPr>
        <w:t>Beslan</w:t>
      </w:r>
      <w:proofErr w:type="spellEnd"/>
      <w:r>
        <w:rPr>
          <w:rFonts w:ascii="David" w:eastAsia="David" w:hAnsi="David" w:cs="David"/>
          <w:sz w:val="22"/>
          <w:szCs w:val="22"/>
        </w:rPr>
        <w:t>: Examining and NGO Community Sport Initiative in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Russia and Its Capacity to Promote Peace amongst Victims of Terrorism’. Journal of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Aggression, Conflict and Peace Research 5, no. 4 (2013): 230–42.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25</w:t>
      </w:r>
      <w:proofErr w:type="gramStart"/>
      <w:r>
        <w:rPr>
          <w:rFonts w:ascii="David" w:eastAsia="David" w:hAnsi="David" w:cs="David"/>
          <w:sz w:val="22"/>
          <w:szCs w:val="22"/>
        </w:rPr>
        <w:t>.Schinke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R.J., K.R. </w:t>
      </w:r>
      <w:proofErr w:type="spellStart"/>
      <w:r>
        <w:rPr>
          <w:rFonts w:ascii="David" w:eastAsia="David" w:hAnsi="David" w:cs="David"/>
          <w:sz w:val="22"/>
          <w:szCs w:val="22"/>
        </w:rPr>
        <w:t>McGannon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, J. Watson, and R. </w:t>
      </w:r>
      <w:proofErr w:type="spellStart"/>
      <w:r>
        <w:rPr>
          <w:rFonts w:ascii="David" w:eastAsia="David" w:hAnsi="David" w:cs="David"/>
          <w:sz w:val="22"/>
          <w:szCs w:val="22"/>
        </w:rPr>
        <w:t>Busanich</w:t>
      </w:r>
      <w:proofErr w:type="spellEnd"/>
      <w:r>
        <w:rPr>
          <w:rFonts w:ascii="David" w:eastAsia="David" w:hAnsi="David" w:cs="David"/>
          <w:sz w:val="22"/>
          <w:szCs w:val="22"/>
        </w:rPr>
        <w:t>. ‘Moving toward Trust and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Partnership: An Example of Sport-related Community-based Participatory Action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Research with Aboriginal People and Mainstream Academics’. Journal of Aggression,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Conflict and Peace Research 5, no. 4 (2013): 201–10.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26</w:t>
      </w:r>
      <w:proofErr w:type="gramStart"/>
      <w:r>
        <w:rPr>
          <w:rFonts w:ascii="David" w:eastAsia="David" w:hAnsi="David" w:cs="David"/>
          <w:sz w:val="22"/>
          <w:szCs w:val="22"/>
        </w:rPr>
        <w:t>.Schulenkorf</w:t>
      </w:r>
      <w:proofErr w:type="gramEnd"/>
      <w:r>
        <w:rPr>
          <w:rFonts w:ascii="David" w:eastAsia="David" w:hAnsi="David" w:cs="David"/>
          <w:sz w:val="22"/>
          <w:szCs w:val="22"/>
        </w:rPr>
        <w:t>, N. ‘Sport Events and Ethnic Reconciliation: Attempting to Create Social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Change between Sinhalese, Tamil, and Muslim Sportspeople in War Torn Sri Lanka’.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International Review for the Sociology of Sport 45, no. 3 (2010): 273–94.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27</w:t>
      </w:r>
      <w:proofErr w:type="gramStart"/>
      <w:r>
        <w:rPr>
          <w:rFonts w:ascii="David" w:eastAsia="David" w:hAnsi="David" w:cs="David"/>
          <w:sz w:val="22"/>
          <w:szCs w:val="22"/>
        </w:rPr>
        <w:t>.Schulenkorf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N., and J. </w:t>
      </w:r>
      <w:proofErr w:type="spellStart"/>
      <w:r>
        <w:rPr>
          <w:rFonts w:ascii="David" w:eastAsia="David" w:hAnsi="David" w:cs="David"/>
          <w:sz w:val="22"/>
          <w:szCs w:val="22"/>
        </w:rPr>
        <w:t>Sugden</w:t>
      </w:r>
      <w:proofErr w:type="spellEnd"/>
      <w:r>
        <w:rPr>
          <w:rFonts w:ascii="David" w:eastAsia="David" w:hAnsi="David" w:cs="David"/>
          <w:sz w:val="22"/>
          <w:szCs w:val="22"/>
        </w:rPr>
        <w:t>. ‘Sport for Development and Peace in Divided Societies: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Cooperating for Inter-community Empowerment in Israel’. European Journal for Sport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proofErr w:type="gramStart"/>
      <w:r>
        <w:rPr>
          <w:rFonts w:ascii="David" w:eastAsia="David" w:hAnsi="David" w:cs="David"/>
          <w:sz w:val="22"/>
          <w:szCs w:val="22"/>
        </w:rPr>
        <w:t>and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 Society 8, no. 4 (2011): 235–56.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28</w:t>
      </w:r>
      <w:proofErr w:type="gramStart"/>
      <w:r>
        <w:rPr>
          <w:rFonts w:ascii="David" w:eastAsia="David" w:hAnsi="David" w:cs="David"/>
          <w:sz w:val="22"/>
          <w:szCs w:val="22"/>
        </w:rPr>
        <w:t>.Schulenkorf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N., J. </w:t>
      </w:r>
      <w:proofErr w:type="spellStart"/>
      <w:r>
        <w:rPr>
          <w:rFonts w:ascii="David" w:eastAsia="David" w:hAnsi="David" w:cs="David"/>
          <w:sz w:val="22"/>
          <w:szCs w:val="22"/>
        </w:rPr>
        <w:t>Sugden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, and D. </w:t>
      </w:r>
      <w:proofErr w:type="spellStart"/>
      <w:r>
        <w:rPr>
          <w:rFonts w:ascii="David" w:eastAsia="David" w:hAnsi="David" w:cs="David"/>
          <w:sz w:val="22"/>
          <w:szCs w:val="22"/>
        </w:rPr>
        <w:t>Burdsey</w:t>
      </w:r>
      <w:proofErr w:type="spellEnd"/>
      <w:r>
        <w:rPr>
          <w:rFonts w:ascii="David" w:eastAsia="David" w:hAnsi="David" w:cs="David"/>
          <w:sz w:val="22"/>
          <w:szCs w:val="22"/>
        </w:rPr>
        <w:t>. ‘Sport for Development and Peace as Contested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Terrain: Place, Community, Ownership’. International Journal of Sport Policy and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Politics 6 (2014): 371–87. doi:10.1080/19406940.2013.825875.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29</w:t>
      </w:r>
      <w:proofErr w:type="gramStart"/>
      <w:r>
        <w:rPr>
          <w:rFonts w:ascii="David" w:eastAsia="David" w:hAnsi="David" w:cs="David"/>
          <w:sz w:val="22"/>
          <w:szCs w:val="22"/>
        </w:rPr>
        <w:t>.Seginer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R., and S. </w:t>
      </w:r>
      <w:proofErr w:type="spellStart"/>
      <w:r>
        <w:rPr>
          <w:rFonts w:ascii="David" w:eastAsia="David" w:hAnsi="David" w:cs="David"/>
          <w:sz w:val="22"/>
          <w:szCs w:val="22"/>
        </w:rPr>
        <w:t>Mahajna</w:t>
      </w:r>
      <w:proofErr w:type="spellEnd"/>
      <w:r>
        <w:rPr>
          <w:rFonts w:ascii="David" w:eastAsia="David" w:hAnsi="David" w:cs="David"/>
          <w:sz w:val="22"/>
          <w:szCs w:val="22"/>
        </w:rPr>
        <w:t>. ‘How the Future Orientation of Traditional Israeli Palestinian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Girls Links Beliefs about Women’s Roles and Academic Achievement’. Psychology of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Women Quarterly 28 (2004): 122–35.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30</w:t>
      </w:r>
      <w:proofErr w:type="gramStart"/>
      <w:r>
        <w:rPr>
          <w:rFonts w:ascii="David" w:eastAsia="David" w:hAnsi="David" w:cs="David"/>
          <w:sz w:val="22"/>
          <w:szCs w:val="22"/>
        </w:rPr>
        <w:t>.Skille</w:t>
      </w:r>
      <w:proofErr w:type="gramEnd"/>
      <w:r>
        <w:rPr>
          <w:rFonts w:ascii="David" w:eastAsia="David" w:hAnsi="David" w:cs="David"/>
          <w:sz w:val="22"/>
          <w:szCs w:val="22"/>
        </w:rPr>
        <w:t>, E. (2011), “The conventions of sport clubs: enabling and constraining the implementation of social goods through sport”, Sport, Education and Society, Vol. 16 No. 2, pp. 241-53.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31</w:t>
      </w:r>
      <w:proofErr w:type="gramStart"/>
      <w:r>
        <w:rPr>
          <w:rFonts w:ascii="David" w:eastAsia="David" w:hAnsi="David" w:cs="David"/>
          <w:sz w:val="22"/>
          <w:szCs w:val="22"/>
        </w:rPr>
        <w:t>.Smooha</w:t>
      </w:r>
      <w:proofErr w:type="gramEnd"/>
      <w:r>
        <w:rPr>
          <w:rFonts w:ascii="David" w:eastAsia="David" w:hAnsi="David" w:cs="David"/>
          <w:sz w:val="22"/>
          <w:szCs w:val="22"/>
        </w:rPr>
        <w:t>, S. (1989), Arabs and Jews in Israel, Vol. 1 Westview Press, Boulder, CO.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32</w:t>
      </w:r>
      <w:proofErr w:type="gramStart"/>
      <w:r>
        <w:rPr>
          <w:rFonts w:ascii="David" w:eastAsia="David" w:hAnsi="David" w:cs="David"/>
          <w:sz w:val="22"/>
          <w:szCs w:val="22"/>
        </w:rPr>
        <w:t>.Smooha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S. Arab–Jewish Relations in Israel: Alienation and Rapprochement. </w:t>
      </w:r>
      <w:proofErr w:type="spellStart"/>
      <w:r>
        <w:rPr>
          <w:rFonts w:ascii="David" w:eastAsia="David" w:hAnsi="David" w:cs="David"/>
          <w:sz w:val="22"/>
          <w:szCs w:val="22"/>
        </w:rPr>
        <w:t>Peaceworks</w:t>
      </w:r>
      <w:proofErr w:type="spellEnd"/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No. 67. Washington, DC: The United States Institute of Peace, 2010.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33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>, J. (2006a), “Teaching and playing sport for conflict resolution and co-existence in Israel”, International Review for the Sociology of Sport, Vol. 41 No. 2, pp. 221-40.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34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J. (2006b), “Sport and community relations in Northern Ireland and Israel”, in </w:t>
      </w:r>
      <w:proofErr w:type="spellStart"/>
      <w:r>
        <w:rPr>
          <w:rFonts w:ascii="David" w:eastAsia="David" w:hAnsi="David" w:cs="David"/>
          <w:sz w:val="22"/>
          <w:szCs w:val="22"/>
        </w:rPr>
        <w:t>Bairner</w:t>
      </w:r>
      <w:proofErr w:type="spellEnd"/>
      <w:r>
        <w:rPr>
          <w:rFonts w:ascii="David" w:eastAsia="David" w:hAnsi="David" w:cs="David"/>
          <w:sz w:val="22"/>
          <w:szCs w:val="22"/>
        </w:rPr>
        <w:t>, A. (Ed.), Sport and the Irish: Histories Identities, Issues, Sport and the Irish: Histories, Identities, Issues, University College Dublin Press, Dublin, pp. 31-42.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35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>, J. (2006c), “The challenge of using a values-based approach to coaching sport and community relations in multi-cultural settings: the case of football for peace (F4P) in Israel”, European Journal for Sport and Society, Vol. 3 No. 1, pp. 7-27.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36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>, J. (2008), “Anyone for football for peace? The challenges of using sport in the service of co-existence in Israel”, Soccer and Society, Vol. 9 No. 3, pp. 405-15.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37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>, J. (2010a), “Between idealism and fatalism: critical realism, sport and social intervention”, in JRIPEC (Ed.), Fostering Peace Through Cultural Initiatives From the Roundtable on Conflict and Culture, The Japan Foundation, London, pp. 7-12.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38</w:t>
      </w:r>
      <w:proofErr w:type="gramStart"/>
      <w:r>
        <w:rPr>
          <w:rFonts w:ascii="David" w:eastAsia="David" w:hAnsi="David" w:cs="David"/>
          <w:sz w:val="22"/>
          <w:szCs w:val="22"/>
        </w:rPr>
        <w:t>.Sugden</w:t>
      </w:r>
      <w:proofErr w:type="gramEnd"/>
      <w:r>
        <w:rPr>
          <w:rFonts w:ascii="David" w:eastAsia="David" w:hAnsi="David" w:cs="David"/>
          <w:sz w:val="22"/>
          <w:szCs w:val="22"/>
        </w:rPr>
        <w:t>, J. (2010b), “Critical left-realism and sport interventions in divided societies”, International Review for the Sociology of Sport, Vol. 45 No. 3, pp. 258-72.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39</w:t>
      </w:r>
      <w:proofErr w:type="gramStart"/>
      <w:r>
        <w:rPr>
          <w:rFonts w:ascii="David" w:eastAsia="David" w:hAnsi="David" w:cs="David"/>
          <w:sz w:val="22"/>
          <w:szCs w:val="22"/>
        </w:rPr>
        <w:t>.Suleiman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R. ‘Planned Encounters between Jewish and Palestinian Israelis: A </w:t>
      </w:r>
      <w:proofErr w:type="spellStart"/>
      <w:r>
        <w:rPr>
          <w:rFonts w:ascii="David" w:eastAsia="David" w:hAnsi="David" w:cs="David"/>
          <w:sz w:val="22"/>
          <w:szCs w:val="22"/>
        </w:rPr>
        <w:t>Socialpsychological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Perspective’. Journal of Social Issues 60, no. 2 (2004): 323–37.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40</w:t>
      </w:r>
      <w:proofErr w:type="gramStart"/>
      <w:r>
        <w:rPr>
          <w:rFonts w:ascii="David" w:eastAsia="David" w:hAnsi="David" w:cs="David"/>
          <w:sz w:val="22"/>
          <w:szCs w:val="22"/>
        </w:rPr>
        <w:t>.Tuohey</w:t>
      </w:r>
      <w:proofErr w:type="gramEnd"/>
      <w:r>
        <w:rPr>
          <w:rFonts w:ascii="David" w:eastAsia="David" w:hAnsi="David" w:cs="David"/>
          <w:sz w:val="22"/>
          <w:szCs w:val="22"/>
        </w:rPr>
        <w:t>, B. and Cognate, B. (2011), “</w:t>
      </w:r>
      <w:proofErr w:type="spellStart"/>
      <w:r>
        <w:rPr>
          <w:rFonts w:ascii="David" w:eastAsia="David" w:hAnsi="David" w:cs="David"/>
          <w:sz w:val="22"/>
          <w:szCs w:val="22"/>
        </w:rPr>
        <w:t>Peaceplayers</w:t>
      </w:r>
      <w:proofErr w:type="spellEnd"/>
      <w:r>
        <w:rPr>
          <w:rFonts w:ascii="David" w:eastAsia="David" w:hAnsi="David" w:cs="David"/>
          <w:sz w:val="22"/>
          <w:szCs w:val="22"/>
        </w:rPr>
        <w:t xml:space="preserve"> international: a case study on the use of sport as a tool for conflict transformation”, SAIS Review, Vol. 31 No. 1, pp. 51-63.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</w:rPr>
        <w:t>41</w:t>
      </w:r>
      <w:proofErr w:type="gramStart"/>
      <w:r>
        <w:rPr>
          <w:rFonts w:ascii="David" w:eastAsia="David" w:hAnsi="David" w:cs="David"/>
          <w:sz w:val="22"/>
          <w:szCs w:val="22"/>
        </w:rPr>
        <w:t>.Zureik</w:t>
      </w:r>
      <w:proofErr w:type="gramEnd"/>
      <w:r>
        <w:rPr>
          <w:rFonts w:ascii="David" w:eastAsia="David" w:hAnsi="David" w:cs="David"/>
          <w:sz w:val="22"/>
          <w:szCs w:val="22"/>
        </w:rPr>
        <w:t xml:space="preserve">, E. and </w:t>
      </w:r>
      <w:proofErr w:type="spellStart"/>
      <w:r>
        <w:rPr>
          <w:rFonts w:ascii="David" w:eastAsia="David" w:hAnsi="David" w:cs="David"/>
          <w:sz w:val="22"/>
          <w:szCs w:val="22"/>
        </w:rPr>
        <w:t>Moughrabi</w:t>
      </w:r>
      <w:proofErr w:type="spellEnd"/>
      <w:r>
        <w:rPr>
          <w:rFonts w:ascii="David" w:eastAsia="David" w:hAnsi="David" w:cs="David"/>
          <w:sz w:val="22"/>
          <w:szCs w:val="22"/>
        </w:rPr>
        <w:t>, F. (1987), Public Opinion and the Palestine Question, St Martin Press, New York, NY.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b/>
          <w:sz w:val="22"/>
          <w:szCs w:val="22"/>
        </w:rPr>
      </w:pP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  <w:highlight w:val="white"/>
        </w:rPr>
      </w:pPr>
      <w:bookmarkStart w:id="1" w:name="_gjdgxs" w:colFirst="0" w:colLast="0"/>
      <w:bookmarkEnd w:id="1"/>
    </w:p>
    <w:sectPr w:rsidR="009C1B01">
      <w:footerReference w:type="default" r:id="rId13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10" w:rsidRDefault="000A6110">
      <w:r>
        <w:separator/>
      </w:r>
    </w:p>
  </w:endnote>
  <w:endnote w:type="continuationSeparator" w:id="0">
    <w:p w:rsidR="000A6110" w:rsidRDefault="000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01" w:rsidRDefault="00AA3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09AD">
      <w:rPr>
        <w:noProof/>
        <w:color w:val="000000"/>
        <w:rtl/>
      </w:rPr>
      <w:t>6</w:t>
    </w:r>
    <w:r>
      <w:rPr>
        <w:color w:val="000000"/>
      </w:rPr>
      <w:fldChar w:fldCharType="end"/>
    </w:r>
  </w:p>
  <w:p w:rsidR="009C1B01" w:rsidRDefault="009C1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10" w:rsidRDefault="000A6110">
      <w:r>
        <w:separator/>
      </w:r>
    </w:p>
  </w:footnote>
  <w:footnote w:type="continuationSeparator" w:id="0">
    <w:p w:rsidR="000A6110" w:rsidRDefault="000A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1A1B"/>
    <w:multiLevelType w:val="multilevel"/>
    <w:tmpl w:val="7FAA2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1"/>
    <w:rsid w:val="000A6110"/>
    <w:rsid w:val="00160091"/>
    <w:rsid w:val="004109AD"/>
    <w:rsid w:val="009C1B01"/>
    <w:rsid w:val="00AA385C"/>
    <w:rsid w:val="00D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40"/>
      <w:szCs w:val="40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 w:line="259" w:lineRule="auto"/>
      <w:outlineLvl w:val="4"/>
    </w:pPr>
    <w:rPr>
      <w:rFonts w:ascii="Cambria" w:eastAsia="Cambria" w:hAnsi="Cambria" w:cs="Cambria"/>
      <w:color w:val="365F91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4109A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109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09A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4109AD"/>
  </w:style>
  <w:style w:type="paragraph" w:styleId="a9">
    <w:name w:val="footer"/>
    <w:basedOn w:val="a"/>
    <w:link w:val="aa"/>
    <w:uiPriority w:val="99"/>
    <w:unhideWhenUsed/>
    <w:rsid w:val="004109A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41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40"/>
      <w:szCs w:val="40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 w:line="259" w:lineRule="auto"/>
      <w:outlineLvl w:val="4"/>
    </w:pPr>
    <w:rPr>
      <w:rFonts w:ascii="Cambria" w:eastAsia="Cambria" w:hAnsi="Cambria" w:cs="Cambria"/>
      <w:color w:val="365F91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4109A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109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09A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4109AD"/>
  </w:style>
  <w:style w:type="paragraph" w:styleId="a9">
    <w:name w:val="footer"/>
    <w:basedOn w:val="a"/>
    <w:link w:val="aa"/>
    <w:uiPriority w:val="99"/>
    <w:unhideWhenUsed/>
    <w:rsid w:val="004109AD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4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80/14660970.2015.1082766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leitner@post.bg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leitner@post.bgu.ac.i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5RW434VQ3H3S-1843-143</_dlc_DocId>
    <_dlc_DocIdUrl xmlns="3fd1f8e8-d4eb-4fa9-9edf-90e13be718c2">
      <Url>https://in.bgu.ac.il/humsos/conflict/_layouts/15/DocIdRedir.aspx?ID=5RW434VQ3H3S-1843-143</Url>
      <Description>5RW434VQ3H3S-1843-143</Description>
    </_dlc_DocIdUrl>
  </documentManagement>
</p:properties>
</file>

<file path=customXml/itemProps1.xml><?xml version="1.0" encoding="utf-8"?>
<ds:datastoreItem xmlns:ds="http://schemas.openxmlformats.org/officeDocument/2006/customXml" ds:itemID="{2C91E0E7-BFBB-4EE9-B116-AABAA8B75D83}"/>
</file>

<file path=customXml/itemProps2.xml><?xml version="1.0" encoding="utf-8"?>
<ds:datastoreItem xmlns:ds="http://schemas.openxmlformats.org/officeDocument/2006/customXml" ds:itemID="{003CDB73-A204-4F3B-BB79-91B7735FD5F2}"/>
</file>

<file path=customXml/itemProps3.xml><?xml version="1.0" encoding="utf-8"?>
<ds:datastoreItem xmlns:ds="http://schemas.openxmlformats.org/officeDocument/2006/customXml" ds:itemID="{432FC908-C4C0-4D17-BC5B-33AAD45A6CE4}"/>
</file>

<file path=customXml/itemProps4.xml><?xml version="1.0" encoding="utf-8"?>
<ds:datastoreItem xmlns:ds="http://schemas.openxmlformats.org/officeDocument/2006/customXml" ds:itemID="{C9260CD3-9839-4EB2-A8AF-7F230CD9C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8680</Characters>
  <Application>Microsoft Office Word</Application>
  <DocSecurity>4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 Chico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Leitner</dc:creator>
  <cp:lastModifiedBy>יפעת אברהם</cp:lastModifiedBy>
  <cp:revision>2</cp:revision>
  <dcterms:created xsi:type="dcterms:W3CDTF">2018-08-01T08:41:00Z</dcterms:created>
  <dcterms:modified xsi:type="dcterms:W3CDTF">2018-08-01T08:41:00Z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e5d8a073-7943-4da1-9144-a96d58d94e54</vt:lpwstr>
  </property>
</Properties>
</file>