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E3" w:rsidRDefault="000B4832" w:rsidP="00306717">
      <w:pPr>
        <w:spacing w:before="100" w:beforeAutospacing="1" w:after="100" w:afterAutospacing="1"/>
        <w:ind w:left="594" w:right="851"/>
        <w:rPr>
          <w:rFonts w:ascii="Arial" w:hAnsi="Arial" w:cs="David"/>
          <w:rtl/>
        </w:rPr>
      </w:pPr>
      <w:r w:rsidRPr="00907586">
        <w:rPr>
          <w:rFonts w:ascii="Arial" w:hAnsi="Arial" w:cs="David"/>
          <w:rtl/>
        </w:rPr>
        <w:t>בס"ד</w:t>
      </w:r>
    </w:p>
    <w:p w:rsidR="0033075C" w:rsidRDefault="003E2567" w:rsidP="00306717">
      <w:pPr>
        <w:pStyle w:val="aa"/>
        <w:ind w:left="594" w:right="851"/>
        <w:rPr>
          <w:rtl/>
        </w:rPr>
      </w:pPr>
      <w:r>
        <w:rPr>
          <w:noProof/>
          <w:lang w:eastAsia="en-US"/>
        </w:rPr>
        <w:drawing>
          <wp:inline distT="0" distB="0" distL="0" distR="0" wp14:anchorId="00FA2944">
            <wp:extent cx="504825" cy="5810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75C" w:rsidRDefault="0033075C" w:rsidP="00306717">
      <w:pPr>
        <w:pStyle w:val="aa"/>
        <w:ind w:left="594" w:right="851"/>
        <w:rPr>
          <w:rtl/>
        </w:rPr>
      </w:pPr>
    </w:p>
    <w:p w:rsidR="0033075C" w:rsidRDefault="0033075C" w:rsidP="00306717">
      <w:pPr>
        <w:pStyle w:val="aa"/>
        <w:ind w:left="594" w:right="851"/>
        <w:rPr>
          <w:rtl/>
        </w:rPr>
      </w:pPr>
      <w:r>
        <w:rPr>
          <w:rtl/>
        </w:rPr>
        <w:t>אוניברסיטת בן-גוריון בנגב</w:t>
      </w:r>
    </w:p>
    <w:p w:rsidR="0033075C" w:rsidRDefault="0033075C" w:rsidP="00306717">
      <w:pPr>
        <w:pStyle w:val="aa"/>
        <w:ind w:left="594" w:right="851"/>
        <w:rPr>
          <w:rtl/>
        </w:rPr>
      </w:pPr>
      <w:r>
        <w:rPr>
          <w:rtl/>
        </w:rPr>
        <w:t>הפקולטה למדעי הרוח והחברה, התכנית לניהול ויישוב סכסוכים</w:t>
      </w:r>
    </w:p>
    <w:p w:rsidR="0033075C" w:rsidRDefault="0033075C" w:rsidP="00306717">
      <w:pPr>
        <w:pStyle w:val="aa"/>
        <w:ind w:left="594" w:right="851"/>
        <w:rPr>
          <w:rtl/>
        </w:rPr>
      </w:pPr>
    </w:p>
    <w:p w:rsidR="0033075C" w:rsidRDefault="0033075C" w:rsidP="00306717">
      <w:pPr>
        <w:spacing w:line="360" w:lineRule="auto"/>
        <w:ind w:left="594" w:right="851"/>
        <w:jc w:val="center"/>
        <w:rPr>
          <w:rFonts w:ascii="Arial" w:hAnsi="Arial" w:cs="David"/>
          <w:b/>
          <w:bCs/>
          <w:sz w:val="32"/>
          <w:szCs w:val="32"/>
          <w:rtl/>
        </w:rPr>
      </w:pPr>
    </w:p>
    <w:p w:rsidR="0033075C" w:rsidRDefault="0033075C" w:rsidP="00306717">
      <w:pPr>
        <w:spacing w:line="360" w:lineRule="auto"/>
        <w:ind w:left="594" w:right="851"/>
        <w:jc w:val="center"/>
        <w:rPr>
          <w:rFonts w:ascii="Arial" w:hAnsi="Arial" w:cs="David"/>
          <w:b/>
          <w:bCs/>
          <w:sz w:val="32"/>
          <w:szCs w:val="32"/>
          <w:rtl/>
        </w:rPr>
      </w:pPr>
      <w:r w:rsidRPr="005248E3">
        <w:rPr>
          <w:rFonts w:ascii="Arial" w:hAnsi="Arial" w:cs="David" w:hint="cs"/>
          <w:b/>
          <w:bCs/>
          <w:sz w:val="32"/>
          <w:szCs w:val="32"/>
          <w:rtl/>
        </w:rPr>
        <w:t>מגמות שינוי בחברה החרדית כקבוצת מיעוט בחברה הישראלית</w:t>
      </w:r>
    </w:p>
    <w:p w:rsidR="00EC70D8" w:rsidRPr="00EC70D8" w:rsidRDefault="00EC70D8" w:rsidP="00EC70D8">
      <w:pPr>
        <w:shd w:val="clear" w:color="auto" w:fill="FFFFFF"/>
        <w:spacing w:after="100" w:line="360" w:lineRule="auto"/>
        <w:ind w:left="368"/>
        <w:jc w:val="center"/>
        <w:rPr>
          <w:b/>
          <w:bCs/>
          <w:color w:val="222222"/>
          <w:sz w:val="26"/>
          <w:szCs w:val="26"/>
        </w:rPr>
      </w:pPr>
      <w:r w:rsidRPr="00EC70D8">
        <w:rPr>
          <w:b/>
          <w:bCs/>
          <w:color w:val="222222"/>
          <w:sz w:val="26"/>
          <w:szCs w:val="26"/>
        </w:rPr>
        <w:t>Changing trends among the Ultraorthodox, a minority group in Israeli society</w:t>
      </w:r>
    </w:p>
    <w:p w:rsidR="00EC70D8" w:rsidRPr="00EC70D8" w:rsidRDefault="00EC70D8" w:rsidP="00306717">
      <w:pPr>
        <w:spacing w:line="360" w:lineRule="auto"/>
        <w:ind w:left="594" w:right="851"/>
        <w:jc w:val="center"/>
        <w:rPr>
          <w:rFonts w:ascii="Arial" w:hAnsi="Arial" w:cs="David"/>
          <w:b/>
          <w:bCs/>
          <w:sz w:val="28"/>
          <w:szCs w:val="28"/>
          <w:rtl/>
        </w:rPr>
      </w:pPr>
    </w:p>
    <w:p w:rsidR="0033075C" w:rsidRDefault="0033075C" w:rsidP="002B0BD0">
      <w:pPr>
        <w:pStyle w:val="aa"/>
        <w:ind w:left="594" w:right="851"/>
        <w:rPr>
          <w:rtl/>
        </w:rPr>
      </w:pPr>
      <w:r>
        <w:rPr>
          <w:rtl/>
        </w:rPr>
        <w:t xml:space="preserve">מס' קורס: </w:t>
      </w:r>
      <w:r w:rsidR="002B0BD0" w:rsidRPr="002B0BD0">
        <w:rPr>
          <w:rtl/>
        </w:rPr>
        <w:t>172-1-0096</w:t>
      </w:r>
    </w:p>
    <w:p w:rsidR="0033075C" w:rsidRPr="0033075C" w:rsidRDefault="003916EC" w:rsidP="009205CE">
      <w:pPr>
        <w:pStyle w:val="aa"/>
        <w:ind w:left="594" w:right="851"/>
        <w:rPr>
          <w:b w:val="0"/>
          <w:bCs w:val="0"/>
          <w:sz w:val="24"/>
          <w:szCs w:val="24"/>
          <w:rtl/>
        </w:rPr>
      </w:pPr>
      <w:r>
        <w:rPr>
          <w:b w:val="0"/>
          <w:bCs w:val="0"/>
          <w:sz w:val="24"/>
          <w:szCs w:val="24"/>
          <w:rtl/>
        </w:rPr>
        <w:t>(תשע"</w:t>
      </w:r>
      <w:r w:rsidR="009205CE">
        <w:rPr>
          <w:rFonts w:hint="cs"/>
          <w:b w:val="0"/>
          <w:bCs w:val="0"/>
          <w:sz w:val="24"/>
          <w:szCs w:val="24"/>
          <w:rtl/>
        </w:rPr>
        <w:t>ט</w:t>
      </w:r>
      <w:r w:rsidR="00E84882">
        <w:rPr>
          <w:b w:val="0"/>
          <w:bCs w:val="0"/>
          <w:sz w:val="24"/>
          <w:szCs w:val="24"/>
          <w:rtl/>
        </w:rPr>
        <w:t xml:space="preserve">, סמסטר </w:t>
      </w:r>
      <w:r w:rsidR="00E84882">
        <w:rPr>
          <w:rFonts w:hint="cs"/>
          <w:b w:val="0"/>
          <w:bCs w:val="0"/>
          <w:sz w:val="24"/>
          <w:szCs w:val="24"/>
          <w:rtl/>
        </w:rPr>
        <w:t>ב</w:t>
      </w:r>
      <w:r w:rsidR="0033075C" w:rsidRPr="0033075C">
        <w:rPr>
          <w:b w:val="0"/>
          <w:bCs w:val="0"/>
          <w:sz w:val="24"/>
          <w:szCs w:val="24"/>
          <w:rtl/>
        </w:rPr>
        <w:t xml:space="preserve">', 2 </w:t>
      </w:r>
      <w:proofErr w:type="spellStart"/>
      <w:r w:rsidR="0033075C" w:rsidRPr="0033075C">
        <w:rPr>
          <w:b w:val="0"/>
          <w:bCs w:val="0"/>
          <w:sz w:val="24"/>
          <w:szCs w:val="24"/>
          <w:rtl/>
        </w:rPr>
        <w:t>ש"ש</w:t>
      </w:r>
      <w:proofErr w:type="spellEnd"/>
      <w:r w:rsidR="0033075C" w:rsidRPr="0033075C">
        <w:rPr>
          <w:b w:val="0"/>
          <w:bCs w:val="0"/>
          <w:sz w:val="24"/>
          <w:szCs w:val="24"/>
          <w:rtl/>
        </w:rPr>
        <w:t xml:space="preserve">, יום ג' </w:t>
      </w:r>
      <w:r w:rsidR="00E84882">
        <w:rPr>
          <w:rFonts w:hint="cs"/>
          <w:b w:val="0"/>
          <w:bCs w:val="0"/>
          <w:sz w:val="24"/>
          <w:szCs w:val="24"/>
          <w:rtl/>
        </w:rPr>
        <w:t>10-12)</w:t>
      </w:r>
    </w:p>
    <w:p w:rsidR="0033075C" w:rsidRPr="0033075C" w:rsidRDefault="0033075C" w:rsidP="00306717">
      <w:pPr>
        <w:pStyle w:val="aa"/>
        <w:ind w:left="594" w:right="851"/>
        <w:rPr>
          <w:b w:val="0"/>
          <w:bCs w:val="0"/>
          <w:sz w:val="24"/>
          <w:szCs w:val="24"/>
          <w:rtl/>
        </w:rPr>
      </w:pPr>
    </w:p>
    <w:p w:rsidR="0033075C" w:rsidRPr="0033075C" w:rsidRDefault="0033075C" w:rsidP="003E2567">
      <w:pPr>
        <w:pStyle w:val="aa"/>
        <w:spacing w:line="360" w:lineRule="auto"/>
        <w:ind w:left="595" w:right="851"/>
        <w:jc w:val="left"/>
        <w:rPr>
          <w:b w:val="0"/>
          <w:bCs w:val="0"/>
          <w:sz w:val="24"/>
          <w:szCs w:val="24"/>
          <w:rtl/>
        </w:rPr>
      </w:pPr>
      <w:r w:rsidRPr="0033075C">
        <w:rPr>
          <w:b w:val="0"/>
          <w:bCs w:val="0"/>
          <w:sz w:val="24"/>
          <w:szCs w:val="24"/>
          <w:rtl/>
        </w:rPr>
        <w:t xml:space="preserve">ד"ר תהילה </w:t>
      </w:r>
      <w:proofErr w:type="spellStart"/>
      <w:r w:rsidRPr="0033075C">
        <w:rPr>
          <w:b w:val="0"/>
          <w:bCs w:val="0"/>
          <w:sz w:val="24"/>
          <w:szCs w:val="24"/>
          <w:rtl/>
        </w:rPr>
        <w:t>קלעג'י</w:t>
      </w:r>
      <w:proofErr w:type="spellEnd"/>
    </w:p>
    <w:p w:rsidR="0033075C" w:rsidRDefault="0033075C" w:rsidP="003E2567">
      <w:pPr>
        <w:pStyle w:val="aa"/>
        <w:spacing w:line="360" w:lineRule="auto"/>
        <w:ind w:left="595" w:right="851"/>
        <w:jc w:val="left"/>
        <w:rPr>
          <w:b w:val="0"/>
          <w:bCs w:val="0"/>
          <w:sz w:val="24"/>
          <w:szCs w:val="24"/>
          <w:rtl/>
        </w:rPr>
      </w:pPr>
      <w:r w:rsidRPr="0033075C">
        <w:rPr>
          <w:sz w:val="24"/>
          <w:szCs w:val="24"/>
          <w:rtl/>
        </w:rPr>
        <w:t>דוא"ל:</w:t>
      </w:r>
      <w:r w:rsidRPr="0033075C">
        <w:rPr>
          <w:b w:val="0"/>
          <w:bCs w:val="0"/>
          <w:sz w:val="24"/>
          <w:szCs w:val="24"/>
          <w:rtl/>
        </w:rPr>
        <w:t xml:space="preserve"> </w:t>
      </w:r>
      <w:hyperlink r:id="rId8" w:history="1">
        <w:r w:rsidRPr="00F4666B">
          <w:rPr>
            <w:rStyle w:val="Hyperlink"/>
            <w:b w:val="0"/>
            <w:bCs w:val="0"/>
            <w:sz w:val="24"/>
            <w:szCs w:val="24"/>
          </w:rPr>
          <w:t>ktehila@gmail.com</w:t>
        </w:r>
      </w:hyperlink>
    </w:p>
    <w:p w:rsidR="0033075C" w:rsidRPr="0033075C" w:rsidRDefault="0033075C" w:rsidP="003E2567">
      <w:pPr>
        <w:pStyle w:val="aa"/>
        <w:spacing w:line="360" w:lineRule="auto"/>
        <w:ind w:left="595" w:right="851"/>
        <w:jc w:val="left"/>
        <w:rPr>
          <w:b w:val="0"/>
          <w:bCs w:val="0"/>
          <w:sz w:val="24"/>
          <w:szCs w:val="24"/>
          <w:rtl/>
        </w:rPr>
      </w:pPr>
      <w:r w:rsidRPr="0033075C">
        <w:rPr>
          <w:sz w:val="24"/>
          <w:szCs w:val="24"/>
          <w:rtl/>
        </w:rPr>
        <w:t>שעות קבלה</w:t>
      </w:r>
      <w:r w:rsidRPr="0033075C">
        <w:rPr>
          <w:b w:val="0"/>
          <w:bCs w:val="0"/>
          <w:sz w:val="24"/>
          <w:szCs w:val="24"/>
          <w:rtl/>
        </w:rPr>
        <w:t>: בתאום עם המרצה במייל</w:t>
      </w:r>
    </w:p>
    <w:p w:rsidR="0033075C" w:rsidRDefault="0033075C" w:rsidP="00306717">
      <w:pPr>
        <w:pStyle w:val="aa"/>
        <w:ind w:left="594" w:right="851"/>
        <w:rPr>
          <w:rtl/>
        </w:rPr>
      </w:pPr>
    </w:p>
    <w:p w:rsidR="0033075C" w:rsidRPr="0033075C" w:rsidRDefault="0033075C" w:rsidP="00503082">
      <w:pPr>
        <w:pStyle w:val="aa"/>
        <w:spacing w:line="360" w:lineRule="auto"/>
        <w:ind w:left="595" w:right="851"/>
        <w:jc w:val="left"/>
        <w:rPr>
          <w:b w:val="0"/>
          <w:bCs w:val="0"/>
          <w:sz w:val="24"/>
          <w:szCs w:val="24"/>
          <w:rtl/>
        </w:rPr>
      </w:pPr>
      <w:r w:rsidRPr="0033075C">
        <w:rPr>
          <w:sz w:val="24"/>
          <w:szCs w:val="24"/>
          <w:rtl/>
        </w:rPr>
        <w:t>תיאור הקורס ומטרותיו</w:t>
      </w:r>
    </w:p>
    <w:p w:rsidR="0033075C" w:rsidRDefault="0033075C" w:rsidP="00503082">
      <w:pPr>
        <w:spacing w:line="360" w:lineRule="auto"/>
        <w:ind w:left="595" w:right="851"/>
        <w:jc w:val="both"/>
        <w:rPr>
          <w:rFonts w:cs="David"/>
          <w:rtl/>
        </w:rPr>
      </w:pPr>
      <w:r>
        <w:rPr>
          <w:rFonts w:ascii="Arial" w:hAnsi="Arial" w:cs="David" w:hint="cs"/>
          <w:rtl/>
        </w:rPr>
        <w:t>הקורס מיועד לסטודנטים המעוניינים להעמיק את ידיעותיהם בנושא</w:t>
      </w:r>
      <w:r w:rsidRPr="00763CAB">
        <w:rPr>
          <w:rFonts w:ascii="Arial" w:hAnsi="Arial" w:cs="David" w:hint="cs"/>
          <w:b/>
          <w:bCs/>
          <w:sz w:val="27"/>
          <w:szCs w:val="27"/>
          <w:rtl/>
        </w:rPr>
        <w:t xml:space="preserve"> </w:t>
      </w:r>
      <w:r>
        <w:rPr>
          <w:rFonts w:ascii="Arial" w:hAnsi="Arial" w:cs="David" w:hint="cs"/>
          <w:rtl/>
        </w:rPr>
        <w:t>תהליכי שינוי בקרב קבוצות מיעוט</w:t>
      </w:r>
      <w:r w:rsidRPr="00763CAB">
        <w:rPr>
          <w:rFonts w:ascii="Arial" w:hAnsi="Arial" w:cs="David" w:hint="cs"/>
          <w:rtl/>
        </w:rPr>
        <w:t xml:space="preserve"> בעידן הרב תרבותי</w:t>
      </w:r>
      <w:r>
        <w:rPr>
          <w:rFonts w:ascii="Arial" w:hAnsi="Arial" w:cs="David" w:hint="cs"/>
          <w:rtl/>
        </w:rPr>
        <w:t xml:space="preserve">. </w:t>
      </w:r>
      <w:r>
        <w:rPr>
          <w:rFonts w:cs="David" w:hint="cs"/>
          <w:rtl/>
        </w:rPr>
        <w:t>הרעיון המרכזי של הקורס יגע</w:t>
      </w:r>
      <w:r w:rsidRPr="00110A5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במפגש </w:t>
      </w:r>
      <w:proofErr w:type="spellStart"/>
      <w:r>
        <w:rPr>
          <w:rFonts w:cs="David" w:hint="cs"/>
          <w:rtl/>
        </w:rPr>
        <w:t>הקונפליקטואלי</w:t>
      </w:r>
      <w:proofErr w:type="spellEnd"/>
      <w:r>
        <w:rPr>
          <w:rFonts w:cs="David" w:hint="cs"/>
          <w:rtl/>
        </w:rPr>
        <w:t xml:space="preserve"> בין שני מוקדי כוח משמעותיים בחברות בנות זמננו, קבוצות מיעוט בעלות ערכים שמרניים אל מול תהליכי מודרנה ושינוי. </w:t>
      </w:r>
    </w:p>
    <w:p w:rsidR="007D737B" w:rsidRDefault="0033075C" w:rsidP="007D737B">
      <w:pPr>
        <w:spacing w:line="360" w:lineRule="auto"/>
        <w:ind w:left="595" w:right="851"/>
        <w:jc w:val="both"/>
        <w:rPr>
          <w:rFonts w:cs="David"/>
          <w:rtl/>
        </w:rPr>
      </w:pPr>
      <w:r>
        <w:rPr>
          <w:rFonts w:ascii="Arial" w:hAnsi="Arial" w:cs="David" w:hint="cs"/>
          <w:rtl/>
        </w:rPr>
        <w:t xml:space="preserve">על מנת ליישם את החומרים התיאורטיים שיילמדו בתחילת הקורס, </w:t>
      </w:r>
      <w:r>
        <w:rPr>
          <w:rFonts w:cs="David" w:hint="cs"/>
          <w:rtl/>
        </w:rPr>
        <w:t>נבחן בהמשך את מיקומה</w:t>
      </w:r>
      <w:r w:rsidRPr="00E5057D">
        <w:rPr>
          <w:rFonts w:cs="David" w:hint="cs"/>
          <w:rtl/>
        </w:rPr>
        <w:t xml:space="preserve"> ש</w:t>
      </w:r>
      <w:r>
        <w:rPr>
          <w:rFonts w:cs="David" w:hint="cs"/>
          <w:rtl/>
        </w:rPr>
        <w:t xml:space="preserve">ל החברה החרדית </w:t>
      </w:r>
      <w:r w:rsidRPr="00E5057D">
        <w:rPr>
          <w:rFonts w:cs="David" w:hint="cs"/>
          <w:rtl/>
        </w:rPr>
        <w:t xml:space="preserve">בקונטקסט התרבותי, החברתי וההיסטורי הרחב. </w:t>
      </w:r>
      <w:r w:rsidR="007D737B">
        <w:rPr>
          <w:rFonts w:cs="David" w:hint="cs"/>
          <w:rtl/>
        </w:rPr>
        <w:t>נ</w:t>
      </w:r>
      <w:r w:rsidR="007D737B" w:rsidRPr="00503082">
        <w:rPr>
          <w:rFonts w:cs="David"/>
          <w:rtl/>
        </w:rPr>
        <w:t xml:space="preserve">כיר את העקרונות המרכזיים של ההשקפה החרדית </w:t>
      </w:r>
      <w:r w:rsidR="007D737B">
        <w:rPr>
          <w:rFonts w:cs="David" w:hint="cs"/>
          <w:rtl/>
        </w:rPr>
        <w:t>ואת</w:t>
      </w:r>
      <w:r w:rsidR="007D737B" w:rsidRPr="00503082">
        <w:rPr>
          <w:rFonts w:cs="David"/>
          <w:rtl/>
        </w:rPr>
        <w:t xml:space="preserve"> </w:t>
      </w:r>
      <w:r w:rsidR="007D737B">
        <w:rPr>
          <w:rFonts w:cs="David" w:hint="cs"/>
          <w:rtl/>
        </w:rPr>
        <w:t xml:space="preserve">מנהיגי </w:t>
      </w:r>
      <w:r w:rsidR="00E22B02">
        <w:rPr>
          <w:rFonts w:cs="David" w:hint="cs"/>
          <w:rtl/>
        </w:rPr>
        <w:t xml:space="preserve">זרמי </w:t>
      </w:r>
      <w:r w:rsidR="007D737B">
        <w:rPr>
          <w:rFonts w:cs="David" w:hint="cs"/>
          <w:rtl/>
        </w:rPr>
        <w:t>ה</w:t>
      </w:r>
      <w:r w:rsidR="007D737B" w:rsidRPr="00503082">
        <w:rPr>
          <w:rFonts w:cs="David"/>
          <w:rtl/>
        </w:rPr>
        <w:t>יהדות החרדית בישראל</w:t>
      </w:r>
      <w:r w:rsidR="007D737B">
        <w:rPr>
          <w:rFonts w:cs="David" w:hint="cs"/>
          <w:rtl/>
        </w:rPr>
        <w:t xml:space="preserve"> לגווניה. </w:t>
      </w:r>
    </w:p>
    <w:p w:rsidR="0033075C" w:rsidRDefault="00E22B02" w:rsidP="00503082">
      <w:pPr>
        <w:spacing w:line="360" w:lineRule="auto"/>
        <w:ind w:left="595" w:right="851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כמו כן, </w:t>
      </w:r>
      <w:r w:rsidR="0033075C" w:rsidRPr="00E5057D">
        <w:rPr>
          <w:rFonts w:cs="David" w:hint="cs"/>
          <w:rtl/>
        </w:rPr>
        <w:t>נלמד על המגמות, התמורות, והתהליכים שהביאו להתעצב</w:t>
      </w:r>
      <w:r w:rsidR="0033075C">
        <w:rPr>
          <w:rFonts w:cs="David" w:hint="cs"/>
          <w:rtl/>
        </w:rPr>
        <w:t>ותה במתכונתה</w:t>
      </w:r>
      <w:r w:rsidR="0033075C" w:rsidRPr="00E5057D">
        <w:rPr>
          <w:rFonts w:cs="David" w:hint="cs"/>
          <w:rtl/>
        </w:rPr>
        <w:t xml:space="preserve"> הנוכחית</w:t>
      </w:r>
      <w:r w:rsidR="0033075C">
        <w:rPr>
          <w:rFonts w:cs="David" w:hint="cs"/>
          <w:rtl/>
        </w:rPr>
        <w:t xml:space="preserve"> כקבוצת מיעוט בחברה הישראלית.</w:t>
      </w:r>
    </w:p>
    <w:p w:rsidR="0033075C" w:rsidRPr="0033075C" w:rsidRDefault="0033075C" w:rsidP="00503082">
      <w:pPr>
        <w:pStyle w:val="aa"/>
        <w:spacing w:line="360" w:lineRule="auto"/>
        <w:ind w:left="595" w:right="851"/>
        <w:jc w:val="left"/>
        <w:rPr>
          <w:b w:val="0"/>
          <w:bCs w:val="0"/>
          <w:sz w:val="24"/>
          <w:szCs w:val="24"/>
          <w:rtl/>
        </w:rPr>
      </w:pPr>
    </w:p>
    <w:p w:rsidR="0033075C" w:rsidRPr="0033075C" w:rsidRDefault="0033075C" w:rsidP="00EC1B32">
      <w:pPr>
        <w:pStyle w:val="aa"/>
        <w:spacing w:line="360" w:lineRule="auto"/>
        <w:ind w:left="595" w:right="851"/>
        <w:jc w:val="left"/>
        <w:rPr>
          <w:sz w:val="24"/>
          <w:szCs w:val="24"/>
          <w:rtl/>
        </w:rPr>
      </w:pPr>
      <w:r w:rsidRPr="0033075C">
        <w:rPr>
          <w:sz w:val="24"/>
          <w:szCs w:val="24"/>
          <w:rtl/>
        </w:rPr>
        <w:t>דרישות הקורס</w:t>
      </w:r>
    </w:p>
    <w:p w:rsidR="00EC1B32" w:rsidRPr="00EC1B32" w:rsidRDefault="00EC1B32" w:rsidP="00EC1B32">
      <w:pPr>
        <w:pStyle w:val="a9"/>
        <w:numPr>
          <w:ilvl w:val="0"/>
          <w:numId w:val="11"/>
        </w:numPr>
        <w:tabs>
          <w:tab w:val="left" w:pos="284"/>
        </w:tabs>
        <w:spacing w:after="120" w:line="360" w:lineRule="auto"/>
        <w:rPr>
          <w:rFonts w:ascii="David" w:hAnsi="David" w:cs="David"/>
          <w:b/>
        </w:rPr>
      </w:pPr>
      <w:r w:rsidRPr="00EC1B32">
        <w:rPr>
          <w:rFonts w:ascii="David" w:hAnsi="David" w:cs="David"/>
          <w:b/>
          <w:rtl/>
        </w:rPr>
        <w:t>נוכחות חובה והשתתפות פעילה בשיעורים (היעדרות מותרת עד 2 מפגשים בסמסטר)</w:t>
      </w:r>
    </w:p>
    <w:p w:rsidR="00EC1B32" w:rsidRPr="00EC1B32" w:rsidRDefault="00EC1B32" w:rsidP="00EC1B32">
      <w:pPr>
        <w:pStyle w:val="a9"/>
        <w:numPr>
          <w:ilvl w:val="0"/>
          <w:numId w:val="11"/>
        </w:numPr>
        <w:tabs>
          <w:tab w:val="left" w:pos="284"/>
        </w:tabs>
        <w:spacing w:after="120" w:line="360" w:lineRule="auto"/>
        <w:rPr>
          <w:rFonts w:ascii="David" w:hAnsi="David" w:cs="David"/>
          <w:b/>
          <w:rtl/>
        </w:rPr>
      </w:pPr>
      <w:r w:rsidRPr="00EC1B32">
        <w:rPr>
          <w:rFonts w:ascii="David" w:hAnsi="David" w:cs="David"/>
          <w:b/>
          <w:rtl/>
        </w:rPr>
        <w:t>הגשת תרגיל (תאריך הגשה והנחיות ימסרו בכיתה)</w:t>
      </w:r>
    </w:p>
    <w:p w:rsidR="000B4832" w:rsidRPr="00EC1B32" w:rsidRDefault="00EC1B32" w:rsidP="00EC1B32">
      <w:pPr>
        <w:pStyle w:val="a9"/>
        <w:numPr>
          <w:ilvl w:val="0"/>
          <w:numId w:val="11"/>
        </w:numPr>
        <w:tabs>
          <w:tab w:val="left" w:pos="284"/>
        </w:tabs>
        <w:spacing w:after="120" w:line="360" w:lineRule="auto"/>
        <w:ind w:left="594" w:right="-709" w:hanging="141"/>
        <w:rPr>
          <w:rFonts w:cstheme="minorHAnsi"/>
          <w:b/>
          <w:rtl/>
        </w:rPr>
      </w:pPr>
      <w:r w:rsidRPr="00EC1B32">
        <w:rPr>
          <w:rFonts w:ascii="David" w:hAnsi="David" w:cs="David"/>
          <w:b/>
          <w:rtl/>
        </w:rPr>
        <w:t>בחינה מסכמת (</w:t>
      </w:r>
      <w:r w:rsidRPr="00EC1B32">
        <w:rPr>
          <w:rFonts w:ascii="David" w:hAnsi="David" w:cs="David"/>
          <w:b/>
          <w:rtl/>
        </w:rPr>
        <w:t>100%</w:t>
      </w:r>
      <w:r w:rsidRPr="00EC1B32">
        <w:rPr>
          <w:rFonts w:ascii="David" w:hAnsi="David" w:cs="David"/>
          <w:b/>
          <w:rtl/>
        </w:rPr>
        <w:t>)</w:t>
      </w:r>
      <w:r w:rsidRPr="00EC1B32">
        <w:rPr>
          <w:rFonts w:ascii="David" w:hAnsi="David" w:cs="David"/>
          <w:b/>
          <w:rtl/>
        </w:rPr>
        <w:br/>
      </w:r>
      <w:r>
        <w:rPr>
          <w:rFonts w:ascii="Arial" w:hAnsi="Arial" w:cs="David"/>
          <w:b/>
          <w:bCs/>
          <w:sz w:val="27"/>
          <w:szCs w:val="27"/>
          <w:u w:val="single"/>
          <w:rtl/>
        </w:rPr>
        <w:br/>
      </w:r>
      <w:r w:rsidR="000B4832" w:rsidRPr="00EC1B32">
        <w:rPr>
          <w:rFonts w:ascii="Arial" w:hAnsi="Arial" w:cs="David"/>
          <w:b/>
          <w:bCs/>
          <w:sz w:val="27"/>
          <w:szCs w:val="27"/>
          <w:u w:val="single"/>
          <w:rtl/>
        </w:rPr>
        <w:t>נושאי השיעור ורשימת הקריאה</w:t>
      </w:r>
      <w:r w:rsidR="000B4832" w:rsidRPr="00EC1B32">
        <w:rPr>
          <w:rFonts w:ascii="Arial" w:hAnsi="Arial" w:cs="David" w:hint="cs"/>
          <w:b/>
          <w:bCs/>
          <w:sz w:val="27"/>
          <w:szCs w:val="27"/>
          <w:u w:val="single"/>
          <w:rtl/>
        </w:rPr>
        <w:t xml:space="preserve"> </w:t>
      </w:r>
    </w:p>
    <w:p w:rsidR="000B4832" w:rsidRPr="00E22B02" w:rsidRDefault="00080399" w:rsidP="00306717">
      <w:pPr>
        <w:spacing w:before="100" w:beforeAutospacing="1" w:after="100" w:afterAutospacing="1" w:line="360" w:lineRule="auto"/>
        <w:ind w:left="594" w:right="851"/>
        <w:rPr>
          <w:rFonts w:ascii="Arial" w:hAnsi="Arial" w:cs="David"/>
          <w:b/>
          <w:bCs/>
          <w:i/>
          <w:iCs/>
          <w:sz w:val="27"/>
          <w:szCs w:val="27"/>
          <w:rtl/>
        </w:rPr>
      </w:pPr>
      <w:r w:rsidRPr="00E22B02">
        <w:rPr>
          <w:rFonts w:ascii="Arial" w:hAnsi="Arial" w:cs="David" w:hint="cs"/>
          <w:b/>
          <w:bCs/>
          <w:i/>
          <w:iCs/>
          <w:sz w:val="27"/>
          <w:szCs w:val="27"/>
          <w:rtl/>
        </w:rPr>
        <w:t>חלק</w:t>
      </w:r>
      <w:r w:rsidR="000B4832" w:rsidRPr="00E22B02">
        <w:rPr>
          <w:rFonts w:ascii="Arial" w:hAnsi="Arial" w:cs="David"/>
          <w:b/>
          <w:bCs/>
          <w:i/>
          <w:iCs/>
          <w:sz w:val="27"/>
          <w:szCs w:val="27"/>
          <w:rtl/>
        </w:rPr>
        <w:t xml:space="preserve"> א' </w:t>
      </w:r>
      <w:r w:rsidR="000B4832" w:rsidRPr="00E22B02">
        <w:rPr>
          <w:rFonts w:ascii="Arial" w:hAnsi="Arial" w:cs="David" w:hint="cs"/>
          <w:b/>
          <w:bCs/>
          <w:i/>
          <w:iCs/>
          <w:sz w:val="27"/>
          <w:szCs w:val="27"/>
          <w:rtl/>
        </w:rPr>
        <w:t>: מושגים כלליים והיבטים תיאורטיים</w:t>
      </w:r>
    </w:p>
    <w:p w:rsidR="000B4832" w:rsidRPr="00E64D25" w:rsidRDefault="000B4832" w:rsidP="00B70A9F">
      <w:pPr>
        <w:pStyle w:val="a9"/>
        <w:numPr>
          <w:ilvl w:val="0"/>
          <w:numId w:val="4"/>
        </w:numPr>
        <w:spacing w:line="360" w:lineRule="auto"/>
        <w:ind w:right="851"/>
        <w:rPr>
          <w:rFonts w:ascii="Arial" w:hAnsi="Arial" w:cs="David"/>
          <w:b/>
          <w:bCs/>
          <w:i/>
          <w:iCs/>
          <w:sz w:val="26"/>
          <w:szCs w:val="26"/>
          <w:rtl/>
        </w:rPr>
      </w:pPr>
      <w:r w:rsidRPr="00E64D25">
        <w:rPr>
          <w:rFonts w:ascii="Arial" w:hAnsi="Arial" w:cs="David" w:hint="cs"/>
          <w:b/>
          <w:bCs/>
          <w:i/>
          <w:iCs/>
          <w:sz w:val="26"/>
          <w:szCs w:val="26"/>
          <w:rtl/>
        </w:rPr>
        <w:t>קבוצות מ</w:t>
      </w:r>
      <w:r w:rsidR="0071660F" w:rsidRPr="00E64D25">
        <w:rPr>
          <w:rFonts w:ascii="Arial" w:hAnsi="Arial" w:cs="David" w:hint="cs"/>
          <w:b/>
          <w:bCs/>
          <w:i/>
          <w:iCs/>
          <w:sz w:val="26"/>
          <w:szCs w:val="26"/>
          <w:rtl/>
        </w:rPr>
        <w:t>יעוט</w:t>
      </w:r>
      <w:r w:rsidRPr="00E64D25">
        <w:rPr>
          <w:rFonts w:ascii="Arial" w:hAnsi="Arial" w:cs="David" w:hint="cs"/>
          <w:b/>
          <w:bCs/>
          <w:i/>
          <w:iCs/>
          <w:sz w:val="26"/>
          <w:szCs w:val="26"/>
          <w:rtl/>
        </w:rPr>
        <w:t xml:space="preserve"> </w:t>
      </w:r>
      <w:r w:rsidR="00B70A9F">
        <w:rPr>
          <w:rFonts w:ascii="Arial" w:hAnsi="Arial" w:cs="David" w:hint="cs"/>
          <w:b/>
          <w:bCs/>
          <w:i/>
          <w:iCs/>
          <w:sz w:val="26"/>
          <w:szCs w:val="26"/>
          <w:rtl/>
        </w:rPr>
        <w:t>ופונדמנטליזם</w:t>
      </w:r>
    </w:p>
    <w:p w:rsidR="000B4832" w:rsidRDefault="000B4832" w:rsidP="00306717">
      <w:pPr>
        <w:spacing w:line="360" w:lineRule="auto"/>
        <w:ind w:left="594" w:right="851"/>
        <w:rPr>
          <w:rFonts w:ascii="Arial" w:hAnsi="Arial" w:cs="David"/>
          <w:rtl/>
        </w:rPr>
      </w:pPr>
      <w:proofErr w:type="spellStart"/>
      <w:r>
        <w:rPr>
          <w:rFonts w:cs="David" w:hint="cs"/>
          <w:rtl/>
        </w:rPr>
        <w:t>איזנשטד</w:t>
      </w:r>
      <w:r w:rsidRPr="007709D3">
        <w:rPr>
          <w:rFonts w:cs="David" w:hint="cs"/>
          <w:rtl/>
        </w:rPr>
        <w:t>ט</w:t>
      </w:r>
      <w:proofErr w:type="spellEnd"/>
      <w:r w:rsidRPr="007709D3">
        <w:rPr>
          <w:rFonts w:cs="David" w:hint="cs"/>
          <w:rtl/>
        </w:rPr>
        <w:t xml:space="preserve">, ש', תשס"ב, </w:t>
      </w:r>
      <w:r w:rsidRPr="007709D3">
        <w:rPr>
          <w:rFonts w:cs="David" w:hint="cs"/>
          <w:b/>
          <w:bCs/>
          <w:rtl/>
        </w:rPr>
        <w:t>פונדמנטליזם ומודרניות</w:t>
      </w:r>
      <w:r w:rsidRPr="007709D3">
        <w:rPr>
          <w:rFonts w:cs="David" w:hint="cs"/>
          <w:rtl/>
        </w:rPr>
        <w:t xml:space="preserve">, תל אביב: משרד </w:t>
      </w:r>
      <w:proofErr w:type="spellStart"/>
      <w:r w:rsidRPr="007709D3">
        <w:rPr>
          <w:rFonts w:cs="David" w:hint="cs"/>
          <w:rtl/>
        </w:rPr>
        <w:t>הבטחון</w:t>
      </w:r>
      <w:proofErr w:type="spellEnd"/>
      <w:r w:rsidRPr="007709D3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עמודים 17-95</w:t>
      </w:r>
      <w:r>
        <w:rPr>
          <w:rFonts w:ascii="Arial" w:hAnsi="Arial" w:cs="David" w:hint="cs"/>
          <w:rtl/>
        </w:rPr>
        <w:t xml:space="preserve"> (חובה).</w:t>
      </w:r>
    </w:p>
    <w:p w:rsidR="00163DB7" w:rsidRPr="00163DB7" w:rsidRDefault="00163DB7" w:rsidP="00163DB7">
      <w:pPr>
        <w:bidi w:val="0"/>
        <w:spacing w:after="200" w:line="360" w:lineRule="auto"/>
        <w:ind w:left="851"/>
      </w:pPr>
      <w:proofErr w:type="spellStart"/>
      <w:r w:rsidRPr="00163DB7">
        <w:t>Lazaros</w:t>
      </w:r>
      <w:proofErr w:type="spellEnd"/>
      <w:r w:rsidRPr="00163DB7">
        <w:t xml:space="preserve">- </w:t>
      </w:r>
      <w:proofErr w:type="spellStart"/>
      <w:r w:rsidRPr="00163DB7">
        <w:t>Yafe</w:t>
      </w:r>
      <w:proofErr w:type="spellEnd"/>
      <w:r w:rsidRPr="00163DB7">
        <w:t xml:space="preserve">, </w:t>
      </w:r>
      <w:r w:rsidR="008E595B" w:rsidRPr="00163DB7">
        <w:t xml:space="preserve">H </w:t>
      </w:r>
      <w:r w:rsidRPr="00163DB7">
        <w:t>"Contemporary fundamentalism: Judaism, Christianity, Islam", Laurence</w:t>
      </w:r>
      <w:r>
        <w:t xml:space="preserve"> </w:t>
      </w:r>
      <w:r w:rsidRPr="00163DB7">
        <w:t>Silberstein (</w:t>
      </w:r>
      <w:proofErr w:type="spellStart"/>
      <w:proofErr w:type="gramStart"/>
      <w:r w:rsidRPr="00163DB7">
        <w:t>ed</w:t>
      </w:r>
      <w:proofErr w:type="spellEnd"/>
      <w:proofErr w:type="gramEnd"/>
      <w:r w:rsidRPr="00163DB7">
        <w:t xml:space="preserve">). Jewish fundamentalism in Comparative Perspective. </w:t>
      </w:r>
      <w:proofErr w:type="gramStart"/>
      <w:r w:rsidRPr="00163DB7">
        <w:t>New-York</w:t>
      </w:r>
      <w:proofErr w:type="gramEnd"/>
      <w:r w:rsidRPr="00163DB7">
        <w:t>: New – York University Press. 1993. 42-56.</w:t>
      </w:r>
    </w:p>
    <w:p w:rsidR="000B4832" w:rsidRDefault="000B4832" w:rsidP="00306717">
      <w:pPr>
        <w:ind w:left="594" w:right="851"/>
        <w:rPr>
          <w:rFonts w:cs="David"/>
          <w:rtl/>
        </w:rPr>
      </w:pPr>
      <w:r w:rsidRPr="007709D3">
        <w:rPr>
          <w:rFonts w:cs="David" w:hint="cs"/>
          <w:rtl/>
        </w:rPr>
        <w:lastRenderedPageBreak/>
        <w:t xml:space="preserve">סיון, ע' , </w:t>
      </w:r>
      <w:proofErr w:type="spellStart"/>
      <w:r>
        <w:rPr>
          <w:rFonts w:cs="David" w:hint="cs"/>
          <w:rtl/>
        </w:rPr>
        <w:t>אלמונד</w:t>
      </w:r>
      <w:proofErr w:type="spellEnd"/>
      <w:r>
        <w:rPr>
          <w:rFonts w:cs="David" w:hint="cs"/>
          <w:rtl/>
        </w:rPr>
        <w:t xml:space="preserve">, ג', </w:t>
      </w:r>
      <w:r w:rsidRPr="0067450B">
        <w:rPr>
          <w:rFonts w:cs="David" w:hint="cs"/>
          <w:rtl/>
        </w:rPr>
        <w:t>סקוט, א',</w:t>
      </w:r>
      <w:r w:rsidRPr="0067450B">
        <w:rPr>
          <w:rFonts w:cs="David" w:hint="cs"/>
          <w:sz w:val="20"/>
          <w:szCs w:val="20"/>
          <w:rtl/>
        </w:rPr>
        <w:t xml:space="preserve"> </w:t>
      </w:r>
      <w:r w:rsidRPr="007709D3">
        <w:rPr>
          <w:rFonts w:cs="David" w:hint="cs"/>
          <w:rtl/>
        </w:rPr>
        <w:t xml:space="preserve">2004, </w:t>
      </w:r>
      <w:r w:rsidRPr="007709D3">
        <w:rPr>
          <w:rFonts w:cs="David" w:hint="cs"/>
          <w:b/>
          <w:bCs/>
          <w:rtl/>
        </w:rPr>
        <w:t>קנאות דתית מודרנית: יהדות, נצרות, אסלאם, הינדואיזם</w:t>
      </w:r>
      <w:r w:rsidRPr="007709D3">
        <w:rPr>
          <w:rFonts w:cs="David" w:hint="cs"/>
          <w:rtl/>
        </w:rPr>
        <w:t>, תל אביב: ידיעות אחרונות, ספרי חמד.</w:t>
      </w:r>
      <w:r>
        <w:rPr>
          <w:rFonts w:cs="David" w:hint="cs"/>
          <w:rtl/>
        </w:rPr>
        <w:t xml:space="preserve"> עמודים 29-107 (חובה)</w:t>
      </w:r>
    </w:p>
    <w:p w:rsidR="000B4832" w:rsidRDefault="000B4832" w:rsidP="00306717">
      <w:pPr>
        <w:bidi w:val="0"/>
        <w:ind w:left="594" w:right="851"/>
        <w:rPr>
          <w:rFonts w:eastAsia="Arial Unicode MS"/>
        </w:rPr>
      </w:pPr>
    </w:p>
    <w:p w:rsidR="000B4832" w:rsidRPr="00E64D25" w:rsidRDefault="00A845BD" w:rsidP="00306717">
      <w:pPr>
        <w:spacing w:before="100" w:beforeAutospacing="1" w:after="100" w:afterAutospacing="1" w:line="360" w:lineRule="auto"/>
        <w:ind w:left="594" w:right="851"/>
        <w:rPr>
          <w:rFonts w:ascii="Arial" w:hAnsi="Arial" w:cs="David"/>
          <w:b/>
          <w:bCs/>
          <w:i/>
          <w:iCs/>
          <w:sz w:val="26"/>
          <w:szCs w:val="26"/>
          <w:rtl/>
        </w:rPr>
      </w:pPr>
      <w:r w:rsidRPr="00E64D25">
        <w:rPr>
          <w:rFonts w:ascii="Arial" w:hAnsi="Arial" w:cs="David" w:hint="cs"/>
          <w:b/>
          <w:bCs/>
          <w:i/>
          <w:iCs/>
          <w:sz w:val="26"/>
          <w:szCs w:val="26"/>
          <w:rtl/>
        </w:rPr>
        <w:t>ב</w:t>
      </w:r>
      <w:r w:rsidR="000B4832" w:rsidRPr="00E64D25">
        <w:rPr>
          <w:rFonts w:ascii="Arial" w:hAnsi="Arial" w:cs="David"/>
          <w:b/>
          <w:bCs/>
          <w:i/>
          <w:iCs/>
          <w:sz w:val="26"/>
          <w:szCs w:val="26"/>
          <w:rtl/>
        </w:rPr>
        <w:t xml:space="preserve">. </w:t>
      </w:r>
      <w:r w:rsidR="000B4832" w:rsidRPr="00E64D25">
        <w:rPr>
          <w:rFonts w:ascii="Arial" w:hAnsi="Arial" w:cs="David" w:hint="cs"/>
          <w:b/>
          <w:bCs/>
          <w:i/>
          <w:iCs/>
          <w:sz w:val="26"/>
          <w:szCs w:val="26"/>
          <w:rtl/>
        </w:rPr>
        <w:t>בין "רב מודרניות" ל"רב תרבותיות"</w:t>
      </w:r>
    </w:p>
    <w:p w:rsidR="000B4832" w:rsidRDefault="000B4832" w:rsidP="00306717">
      <w:pPr>
        <w:ind w:left="594" w:right="851"/>
        <w:rPr>
          <w:rFonts w:cs="David"/>
          <w:rtl/>
        </w:rPr>
      </w:pPr>
      <w:r>
        <w:rPr>
          <w:rFonts w:cs="David" w:hint="cs"/>
          <w:rtl/>
        </w:rPr>
        <w:t xml:space="preserve">יונה, י', שנהב, י', תשס"ה, </w:t>
      </w:r>
      <w:r>
        <w:rPr>
          <w:rFonts w:cs="David" w:hint="cs"/>
          <w:b/>
          <w:bCs/>
          <w:rtl/>
        </w:rPr>
        <w:t>רב תרבותיות מהי?</w:t>
      </w:r>
      <w:r w:rsidRPr="00F702E1">
        <w:rPr>
          <w:rFonts w:cs="David" w:hint="cs"/>
          <w:b/>
          <w:bCs/>
          <w:rtl/>
        </w:rPr>
        <w:t xml:space="preserve"> על הפוליטיקה של השונות בישראל</w:t>
      </w:r>
      <w:r>
        <w:rPr>
          <w:rFonts w:cs="David" w:hint="cs"/>
          <w:rtl/>
        </w:rPr>
        <w:t xml:space="preserve">, תל אביב: בבל. </w:t>
      </w:r>
      <w:r w:rsidRPr="00512859">
        <w:rPr>
          <w:rFonts w:cs="David" w:hint="cs"/>
          <w:rtl/>
        </w:rPr>
        <w:t>פרק ראשון</w:t>
      </w:r>
      <w:r>
        <w:rPr>
          <w:rFonts w:cs="David" w:hint="cs"/>
          <w:rtl/>
        </w:rPr>
        <w:t xml:space="preserve"> (חובה)</w:t>
      </w:r>
    </w:p>
    <w:p w:rsidR="000B4832" w:rsidRDefault="000B4832" w:rsidP="00306717">
      <w:pPr>
        <w:ind w:left="594" w:right="851" w:firstLine="6"/>
        <w:rPr>
          <w:rFonts w:cs="David"/>
          <w:rtl/>
        </w:rPr>
      </w:pPr>
    </w:p>
    <w:p w:rsidR="000B4832" w:rsidRPr="0037517E" w:rsidRDefault="000B4832" w:rsidP="00306717">
      <w:pPr>
        <w:ind w:left="594" w:right="851" w:firstLine="6"/>
        <w:rPr>
          <w:rFonts w:cs="David"/>
        </w:rPr>
      </w:pPr>
      <w:r w:rsidRPr="0037517E">
        <w:rPr>
          <w:rFonts w:cs="David" w:hint="cs"/>
          <w:rtl/>
        </w:rPr>
        <w:t xml:space="preserve">יוגב, א' </w:t>
      </w:r>
      <w:r>
        <w:rPr>
          <w:rFonts w:cs="David" w:hint="cs"/>
          <w:rtl/>
        </w:rPr>
        <w:t>,2001,</w:t>
      </w:r>
      <w:r w:rsidRPr="0037517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"</w:t>
      </w:r>
      <w:r w:rsidRPr="0037517E">
        <w:rPr>
          <w:rFonts w:cs="David" w:hint="cs"/>
          <w:rtl/>
        </w:rPr>
        <w:t>גיש</w:t>
      </w:r>
      <w:r>
        <w:rPr>
          <w:rFonts w:cs="David" w:hint="cs"/>
          <w:rtl/>
        </w:rPr>
        <w:t>ות לחינוך ערכי בחברה פלורליסטית",</w:t>
      </w:r>
      <w:r w:rsidRPr="0037517E">
        <w:rPr>
          <w:rFonts w:cs="David" w:hint="cs"/>
          <w:rtl/>
        </w:rPr>
        <w:t xml:space="preserve"> בתוך י' עירם, ש' </w:t>
      </w:r>
      <w:proofErr w:type="spellStart"/>
      <w:r w:rsidRPr="0037517E">
        <w:rPr>
          <w:rFonts w:cs="David" w:hint="cs"/>
          <w:rtl/>
        </w:rPr>
        <w:t>שקולניקוב</w:t>
      </w:r>
      <w:proofErr w:type="spellEnd"/>
      <w:r w:rsidRPr="0037517E">
        <w:rPr>
          <w:rFonts w:cs="David" w:hint="cs"/>
          <w:rtl/>
        </w:rPr>
        <w:t xml:space="preserve">, י' כהן וא' שכטר (עורכים), </w:t>
      </w:r>
      <w:r w:rsidRPr="00A41384">
        <w:rPr>
          <w:rFonts w:cs="David" w:hint="cs"/>
          <w:b/>
          <w:bCs/>
          <w:rtl/>
        </w:rPr>
        <w:t>צומת: ערכים וחינוך בחברה הישראלית</w:t>
      </w:r>
      <w:r w:rsidRPr="0037517E">
        <w:rPr>
          <w:rFonts w:cs="David" w:hint="cs"/>
          <w:rtl/>
        </w:rPr>
        <w:t>. הוצאת לשכת המדענית הראשית, משרד החינוך,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עמ</w:t>
      </w:r>
      <w:proofErr w:type="spellEnd"/>
      <w:r>
        <w:rPr>
          <w:rFonts w:cs="David" w:hint="cs"/>
          <w:rtl/>
        </w:rPr>
        <w:t>':</w:t>
      </w:r>
      <w:r w:rsidRPr="0037517E">
        <w:rPr>
          <w:rFonts w:cs="David" w:hint="cs"/>
          <w:rtl/>
        </w:rPr>
        <w:t xml:space="preserve"> 355-379. </w:t>
      </w:r>
      <w:r>
        <w:rPr>
          <w:rFonts w:cs="David" w:hint="cs"/>
          <w:rtl/>
        </w:rPr>
        <w:t>(רשות)</w:t>
      </w:r>
    </w:p>
    <w:p w:rsidR="000B4832" w:rsidRDefault="000B4832" w:rsidP="00306717">
      <w:pPr>
        <w:ind w:left="594" w:right="851" w:firstLine="6"/>
        <w:rPr>
          <w:rFonts w:cs="David"/>
          <w:rtl/>
        </w:rPr>
      </w:pPr>
    </w:p>
    <w:p w:rsidR="000B4832" w:rsidRPr="002B5B5C" w:rsidRDefault="000B4832" w:rsidP="00306717">
      <w:pPr>
        <w:ind w:left="594" w:right="851" w:firstLine="6"/>
        <w:rPr>
          <w:rFonts w:cs="David"/>
          <w:rtl/>
        </w:rPr>
      </w:pPr>
      <w:r>
        <w:rPr>
          <w:rFonts w:cs="David" w:hint="cs"/>
          <w:rtl/>
        </w:rPr>
        <w:t>סבר, ר', 2001,</w:t>
      </w:r>
      <w:r w:rsidRPr="0037517E">
        <w:rPr>
          <w:rFonts w:cs="David" w:hint="cs"/>
          <w:rtl/>
        </w:rPr>
        <w:t xml:space="preserve"> בוללים או שוזרים? מסגרת מושגית לבחינת סוגיות של רב תרבותיות. בתוך</w:t>
      </w:r>
      <w:r>
        <w:rPr>
          <w:rFonts w:cs="David" w:hint="cs"/>
          <w:rtl/>
        </w:rPr>
        <w:t xml:space="preserve">: </w:t>
      </w:r>
      <w:r w:rsidRPr="00B9651B">
        <w:rPr>
          <w:rFonts w:cs="David" w:hint="cs"/>
          <w:b/>
          <w:bCs/>
          <w:rtl/>
        </w:rPr>
        <w:t>גדיש</w:t>
      </w:r>
      <w:r>
        <w:rPr>
          <w:rFonts w:cs="David" w:hint="cs"/>
          <w:rtl/>
        </w:rPr>
        <w:t>, משרד החינוך</w:t>
      </w:r>
      <w:r w:rsidRPr="0037517E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האגף לחינוך מבוגרים, </w:t>
      </w:r>
      <w:proofErr w:type="spellStart"/>
      <w:r>
        <w:rPr>
          <w:rFonts w:cs="David" w:hint="cs"/>
          <w:rtl/>
        </w:rPr>
        <w:t>עמ</w:t>
      </w:r>
      <w:proofErr w:type="spellEnd"/>
      <w:r>
        <w:rPr>
          <w:rFonts w:cs="David" w:hint="cs"/>
          <w:rtl/>
        </w:rPr>
        <w:t xml:space="preserve">': </w:t>
      </w:r>
      <w:r w:rsidRPr="0037517E">
        <w:rPr>
          <w:rFonts w:cs="David" w:hint="cs"/>
          <w:rtl/>
        </w:rPr>
        <w:t xml:space="preserve"> 7, 45-54. </w:t>
      </w:r>
      <w:r>
        <w:rPr>
          <w:rFonts w:cs="David" w:hint="cs"/>
          <w:rtl/>
        </w:rPr>
        <w:t>(חובה)</w:t>
      </w:r>
    </w:p>
    <w:p w:rsidR="000B4832" w:rsidRDefault="000B4832" w:rsidP="00306717">
      <w:pPr>
        <w:ind w:left="594" w:right="851" w:firstLine="556"/>
        <w:jc w:val="right"/>
        <w:rPr>
          <w:rtl/>
        </w:rPr>
      </w:pPr>
    </w:p>
    <w:p w:rsidR="000B4832" w:rsidRDefault="000B4832" w:rsidP="00306717">
      <w:pPr>
        <w:tabs>
          <w:tab w:val="left" w:pos="6522"/>
        </w:tabs>
        <w:ind w:left="594" w:right="851" w:firstLine="556"/>
        <w:jc w:val="right"/>
        <w:rPr>
          <w:rtl/>
        </w:rPr>
      </w:pPr>
      <w:proofErr w:type="spellStart"/>
      <w:r w:rsidRPr="002B5B5C">
        <w:t>Eisenstadt</w:t>
      </w:r>
      <w:proofErr w:type="spellEnd"/>
      <w:r w:rsidRPr="002B5B5C">
        <w:t xml:space="preserve">, S.N. </w:t>
      </w:r>
      <w:r>
        <w:t>(</w:t>
      </w:r>
      <w:r w:rsidRPr="002B5B5C">
        <w:t>2000</w:t>
      </w:r>
      <w:r>
        <w:t>).</w:t>
      </w:r>
      <w:r w:rsidRPr="002B5B5C">
        <w:t xml:space="preserve"> "Multiple </w:t>
      </w:r>
      <w:proofErr w:type="spellStart"/>
      <w:r w:rsidRPr="002B5B5C">
        <w:t>Modernities</w:t>
      </w:r>
      <w:proofErr w:type="spellEnd"/>
      <w:r w:rsidRPr="002B5B5C">
        <w:t xml:space="preserve">", </w:t>
      </w:r>
      <w:r w:rsidRPr="00512859">
        <w:rPr>
          <w:b/>
          <w:bCs/>
        </w:rPr>
        <w:t>Da</w:t>
      </w:r>
      <w:r>
        <w:rPr>
          <w:b/>
          <w:bCs/>
        </w:rPr>
        <w:t>e</w:t>
      </w:r>
      <w:r w:rsidRPr="00512859">
        <w:rPr>
          <w:b/>
          <w:bCs/>
        </w:rPr>
        <w:t>da</w:t>
      </w:r>
      <w:r>
        <w:rPr>
          <w:b/>
          <w:bCs/>
        </w:rPr>
        <w:t>l</w:t>
      </w:r>
      <w:r w:rsidRPr="00512859">
        <w:rPr>
          <w:b/>
          <w:bCs/>
        </w:rPr>
        <w:t>us</w:t>
      </w:r>
      <w:r w:rsidRPr="002B5B5C">
        <w:rPr>
          <w:b/>
          <w:bCs/>
        </w:rPr>
        <w:t xml:space="preserve">, Journal of the </w:t>
      </w:r>
      <w:smartTag w:uri="urn:schemas-microsoft-com:office:smarttags" w:element="place">
        <w:smartTag w:uri="urn:schemas-microsoft-com:office:smarttags" w:element="PlaceName">
          <w:r w:rsidRPr="002B5B5C">
            <w:rPr>
              <w:b/>
              <w:bCs/>
            </w:rPr>
            <w:t>American</w:t>
          </w:r>
        </w:smartTag>
        <w:r w:rsidRPr="002B5B5C">
          <w:rPr>
            <w:b/>
            <w:bCs/>
          </w:rPr>
          <w:t xml:space="preserve"> </w:t>
        </w:r>
        <w:smartTag w:uri="urn:schemas-microsoft-com:office:smarttags" w:element="PlaceType">
          <w:r w:rsidRPr="002B5B5C">
            <w:rPr>
              <w:b/>
              <w:bCs/>
            </w:rPr>
            <w:t>Academy</w:t>
          </w:r>
        </w:smartTag>
      </w:smartTag>
      <w:r w:rsidRPr="002B5B5C">
        <w:rPr>
          <w:b/>
          <w:bCs/>
        </w:rPr>
        <w:t xml:space="preserve"> of Arts and Sciences- Multiple </w:t>
      </w:r>
      <w:proofErr w:type="spellStart"/>
      <w:r w:rsidRPr="002B5B5C">
        <w:rPr>
          <w:b/>
          <w:bCs/>
        </w:rPr>
        <w:t>Modernities</w:t>
      </w:r>
      <w:proofErr w:type="spellEnd"/>
      <w:r w:rsidRPr="002B5B5C">
        <w:t xml:space="preserve">, Winter 2000, </w:t>
      </w:r>
    </w:p>
    <w:p w:rsidR="000B4832" w:rsidRDefault="000B4832" w:rsidP="007315C0">
      <w:pPr>
        <w:tabs>
          <w:tab w:val="left" w:pos="6522"/>
        </w:tabs>
        <w:bidi w:val="0"/>
        <w:ind w:left="594" w:right="851" w:firstLine="257"/>
      </w:pPr>
      <w:r w:rsidRPr="002B5B5C">
        <w:t>Vol.129, N</w:t>
      </w:r>
      <w:r>
        <w:t>o</w:t>
      </w:r>
      <w:r w:rsidRPr="002B5B5C">
        <w:t>. 1 pp</w:t>
      </w:r>
      <w:r>
        <w:t>. 1-30.</w:t>
      </w:r>
      <w:r>
        <w:rPr>
          <w:rFonts w:hint="cs"/>
          <w:rtl/>
        </w:rPr>
        <w:t xml:space="preserve"> (חובה)  </w:t>
      </w:r>
    </w:p>
    <w:p w:rsidR="000B4832" w:rsidRPr="002B5B5C" w:rsidRDefault="000B4832" w:rsidP="00306717">
      <w:pPr>
        <w:tabs>
          <w:tab w:val="left" w:pos="6522"/>
        </w:tabs>
        <w:ind w:left="594" w:right="851" w:firstLine="556"/>
        <w:rPr>
          <w:rtl/>
        </w:rPr>
      </w:pPr>
      <w:r w:rsidRPr="00924096">
        <w:rPr>
          <w:rFonts w:hint="cs"/>
          <w:rtl/>
        </w:rPr>
        <w:t xml:space="preserve"> </w:t>
      </w:r>
    </w:p>
    <w:p w:rsidR="000B4832" w:rsidRDefault="000B4832" w:rsidP="00306717">
      <w:pPr>
        <w:ind w:left="594" w:right="851"/>
        <w:rPr>
          <w:rFonts w:cs="David"/>
          <w:rtl/>
        </w:rPr>
      </w:pPr>
      <w:r>
        <w:rPr>
          <w:rFonts w:cs="David" w:hint="cs"/>
          <w:rtl/>
        </w:rPr>
        <w:t xml:space="preserve">יעל, ת', "שני מושגים של רב תרבותיות", בתוך: </w:t>
      </w:r>
      <w:proofErr w:type="spellStart"/>
      <w:r>
        <w:rPr>
          <w:rFonts w:cs="David" w:hint="cs"/>
          <w:rtl/>
        </w:rPr>
        <w:t>מאוטנר</w:t>
      </w:r>
      <w:proofErr w:type="spellEnd"/>
      <w:r>
        <w:rPr>
          <w:rFonts w:cs="David" w:hint="cs"/>
          <w:rtl/>
        </w:rPr>
        <w:t xml:space="preserve">, מ', שגיא, א', שמיר, ר' (עורכים), 1998, </w:t>
      </w:r>
      <w:r w:rsidRPr="00694837">
        <w:rPr>
          <w:rFonts w:cs="David" w:hint="cs"/>
          <w:b/>
          <w:bCs/>
          <w:rtl/>
        </w:rPr>
        <w:t>רב תרבותיות במדינה דמוקרטית ויהודית</w:t>
      </w:r>
      <w:r>
        <w:rPr>
          <w:rFonts w:cs="David" w:hint="cs"/>
          <w:rtl/>
        </w:rPr>
        <w:t xml:space="preserve">, תל אביב: רמות. עמודים  </w:t>
      </w:r>
      <w:r>
        <w:rPr>
          <w:rFonts w:cs="David"/>
        </w:rPr>
        <w:t>79-92</w:t>
      </w:r>
      <w:r>
        <w:rPr>
          <w:rFonts w:cs="David" w:hint="cs"/>
          <w:rtl/>
        </w:rPr>
        <w:t xml:space="preserve"> (חובה)</w:t>
      </w:r>
    </w:p>
    <w:p w:rsidR="000B4832" w:rsidRDefault="000B4832" w:rsidP="00306717">
      <w:pPr>
        <w:spacing w:before="100" w:beforeAutospacing="1" w:after="100" w:afterAutospacing="1" w:line="360" w:lineRule="auto"/>
        <w:ind w:left="594" w:right="851"/>
        <w:rPr>
          <w:rFonts w:ascii="Arial" w:hAnsi="Arial" w:cs="David"/>
          <w:b/>
          <w:bCs/>
          <w:sz w:val="27"/>
          <w:szCs w:val="27"/>
          <w:u w:val="single"/>
          <w:rtl/>
        </w:rPr>
      </w:pPr>
    </w:p>
    <w:p w:rsidR="000B4832" w:rsidRPr="001A2192" w:rsidRDefault="00080399" w:rsidP="00306717">
      <w:pPr>
        <w:spacing w:before="100" w:beforeAutospacing="1" w:after="100" w:afterAutospacing="1" w:line="360" w:lineRule="auto"/>
        <w:ind w:left="594" w:right="851"/>
        <w:rPr>
          <w:rFonts w:ascii="Arial" w:hAnsi="Arial" w:cs="David"/>
          <w:b/>
          <w:bCs/>
          <w:i/>
          <w:iCs/>
          <w:sz w:val="27"/>
          <w:szCs w:val="27"/>
          <w:u w:val="single"/>
          <w:rtl/>
        </w:rPr>
      </w:pPr>
      <w:r>
        <w:rPr>
          <w:rFonts w:ascii="Arial" w:hAnsi="Arial" w:cs="David" w:hint="cs"/>
          <w:b/>
          <w:bCs/>
          <w:i/>
          <w:iCs/>
          <w:sz w:val="27"/>
          <w:szCs w:val="27"/>
          <w:rtl/>
        </w:rPr>
        <w:t>חלק</w:t>
      </w:r>
      <w:r w:rsidR="000B4832" w:rsidRPr="001A2192">
        <w:rPr>
          <w:rFonts w:ascii="Arial" w:hAnsi="Arial" w:cs="David"/>
          <w:b/>
          <w:bCs/>
          <w:i/>
          <w:iCs/>
          <w:sz w:val="27"/>
          <w:szCs w:val="27"/>
          <w:rtl/>
        </w:rPr>
        <w:t xml:space="preserve"> ב</w:t>
      </w:r>
      <w:r w:rsidR="00F169D3" w:rsidRPr="001A2192">
        <w:rPr>
          <w:rFonts w:ascii="Arial" w:hAnsi="Arial" w:cs="David" w:hint="cs"/>
          <w:b/>
          <w:bCs/>
          <w:i/>
          <w:iCs/>
          <w:sz w:val="27"/>
          <w:szCs w:val="27"/>
          <w:rtl/>
        </w:rPr>
        <w:t>'</w:t>
      </w:r>
      <w:r w:rsidR="003936D8">
        <w:rPr>
          <w:rFonts w:ascii="Arial" w:hAnsi="Arial" w:cs="David" w:hint="cs"/>
          <w:b/>
          <w:bCs/>
          <w:i/>
          <w:iCs/>
          <w:sz w:val="27"/>
          <w:szCs w:val="27"/>
          <w:u w:val="single"/>
          <w:rtl/>
        </w:rPr>
        <w:t xml:space="preserve"> : יישום תיאורטי על </w:t>
      </w:r>
      <w:r w:rsidR="00F169D3" w:rsidRPr="001A2192">
        <w:rPr>
          <w:rFonts w:ascii="Arial" w:hAnsi="Arial" w:cs="David" w:hint="cs"/>
          <w:b/>
          <w:bCs/>
          <w:i/>
          <w:iCs/>
          <w:sz w:val="27"/>
          <w:szCs w:val="27"/>
          <w:u w:val="single"/>
          <w:rtl/>
        </w:rPr>
        <w:t>מקרה בוחן בחברה הישראלית</w:t>
      </w:r>
    </w:p>
    <w:p w:rsidR="000B4832" w:rsidRDefault="000B4832" w:rsidP="00306717">
      <w:pPr>
        <w:spacing w:before="100" w:beforeAutospacing="1" w:after="100" w:afterAutospacing="1" w:line="360" w:lineRule="auto"/>
        <w:ind w:left="594" w:right="851"/>
        <w:rPr>
          <w:rFonts w:ascii="Arial" w:hAnsi="Arial" w:cs="David"/>
          <w:b/>
          <w:bCs/>
          <w:rtl/>
        </w:rPr>
      </w:pPr>
      <w:r w:rsidRPr="00E64D25">
        <w:rPr>
          <w:rFonts w:ascii="Arial" w:hAnsi="Arial" w:cs="David"/>
          <w:b/>
          <w:bCs/>
          <w:i/>
          <w:iCs/>
          <w:rtl/>
        </w:rPr>
        <w:t>א</w:t>
      </w:r>
      <w:r w:rsidRPr="00E64D25">
        <w:rPr>
          <w:rFonts w:ascii="Arial" w:hAnsi="Arial" w:cs="David"/>
          <w:b/>
          <w:bCs/>
          <w:i/>
          <w:iCs/>
          <w:sz w:val="26"/>
          <w:szCs w:val="26"/>
          <w:rtl/>
        </w:rPr>
        <w:t xml:space="preserve">. </w:t>
      </w:r>
      <w:r w:rsidRPr="00E64D25">
        <w:rPr>
          <w:rFonts w:ascii="Arial" w:hAnsi="Arial" w:cs="David" w:hint="cs"/>
          <w:b/>
          <w:bCs/>
          <w:i/>
          <w:iCs/>
          <w:sz w:val="26"/>
          <w:szCs w:val="26"/>
          <w:rtl/>
        </w:rPr>
        <w:t>החברה החרדית בישראל</w:t>
      </w:r>
      <w:r w:rsidRPr="00E64D25">
        <w:rPr>
          <w:rFonts w:ascii="Arial" w:hAnsi="Arial" w:cs="David"/>
          <w:b/>
          <w:bCs/>
          <w:i/>
          <w:iCs/>
          <w:sz w:val="26"/>
          <w:szCs w:val="26"/>
          <w:rtl/>
        </w:rPr>
        <w:t xml:space="preserve"> </w:t>
      </w:r>
      <w:r w:rsidR="00EF7C37" w:rsidRPr="00E64D25">
        <w:rPr>
          <w:rFonts w:ascii="Arial" w:hAnsi="Arial" w:cs="David"/>
          <w:b/>
          <w:bCs/>
          <w:i/>
          <w:iCs/>
          <w:sz w:val="26"/>
          <w:szCs w:val="26"/>
          <w:rtl/>
        </w:rPr>
        <w:t>–</w:t>
      </w:r>
      <w:r w:rsidR="00F169D3" w:rsidRPr="00E64D25">
        <w:rPr>
          <w:rFonts w:ascii="Arial" w:hAnsi="Arial" w:cs="David" w:hint="cs"/>
          <w:b/>
          <w:bCs/>
          <w:i/>
          <w:iCs/>
          <w:sz w:val="26"/>
          <w:szCs w:val="26"/>
          <w:rtl/>
        </w:rPr>
        <w:t xml:space="preserve"> מאפיינים</w:t>
      </w:r>
      <w:r w:rsidR="00EF7C37" w:rsidRPr="00E64D25">
        <w:rPr>
          <w:rFonts w:ascii="Arial" w:hAnsi="Arial" w:cs="David" w:hint="cs"/>
          <w:b/>
          <w:bCs/>
          <w:i/>
          <w:iCs/>
          <w:sz w:val="26"/>
          <w:szCs w:val="26"/>
          <w:rtl/>
        </w:rPr>
        <w:t xml:space="preserve"> וזרמים</w:t>
      </w:r>
      <w:r w:rsidR="00EF7C37">
        <w:rPr>
          <w:rFonts w:ascii="Arial" w:hAnsi="Arial" w:cs="David" w:hint="cs"/>
          <w:b/>
          <w:bCs/>
          <w:rtl/>
        </w:rPr>
        <w:t xml:space="preserve"> </w:t>
      </w:r>
    </w:p>
    <w:p w:rsidR="00760AD0" w:rsidRDefault="00760AD0" w:rsidP="00760AD0">
      <w:pPr>
        <w:tabs>
          <w:tab w:val="right" w:pos="26"/>
        </w:tabs>
        <w:ind w:left="594" w:right="851"/>
        <w:rPr>
          <w:rFonts w:cs="David"/>
          <w:rtl/>
        </w:rPr>
      </w:pPr>
      <w:r w:rsidRPr="001159CF">
        <w:rPr>
          <w:rFonts w:cs="David"/>
          <w:rtl/>
        </w:rPr>
        <w:t xml:space="preserve">מנחם פרידמן, </w:t>
      </w:r>
      <w:r>
        <w:rPr>
          <w:rFonts w:cs="David"/>
          <w:b/>
          <w:bCs/>
          <w:rtl/>
        </w:rPr>
        <w:t>חברה ודת: האור</w:t>
      </w:r>
      <w:r>
        <w:rPr>
          <w:rFonts w:cs="David" w:hint="cs"/>
          <w:b/>
          <w:bCs/>
          <w:rtl/>
        </w:rPr>
        <w:t>ת</w:t>
      </w:r>
      <w:r w:rsidRPr="001159CF">
        <w:rPr>
          <w:rFonts w:cs="David"/>
          <w:b/>
          <w:bCs/>
          <w:rtl/>
        </w:rPr>
        <w:t>ודוקסיה הלא-ציונית בארץ-ישראל תרע"ח-תרצ"ו</w:t>
      </w:r>
      <w:r w:rsidRPr="001159CF">
        <w:rPr>
          <w:rFonts w:cs="David"/>
          <w:rtl/>
        </w:rPr>
        <w:t>, ירושלים תשל"ח, עמ' 315-286.</w:t>
      </w:r>
    </w:p>
    <w:p w:rsidR="00465C82" w:rsidRDefault="00465C82" w:rsidP="00760AD0">
      <w:pPr>
        <w:tabs>
          <w:tab w:val="right" w:pos="26"/>
        </w:tabs>
        <w:ind w:left="594" w:right="851"/>
        <w:rPr>
          <w:rFonts w:cs="David"/>
          <w:rtl/>
        </w:rPr>
      </w:pPr>
    </w:p>
    <w:p w:rsidR="00465C82" w:rsidRPr="00465C82" w:rsidRDefault="00465C82" w:rsidP="00760AD0">
      <w:pPr>
        <w:tabs>
          <w:tab w:val="right" w:pos="26"/>
        </w:tabs>
        <w:ind w:left="594" w:right="851"/>
        <w:rPr>
          <w:rFonts w:cs="David"/>
          <w:rtl/>
        </w:rPr>
      </w:pPr>
      <w:r>
        <w:rPr>
          <w:rFonts w:cs="David" w:hint="cs"/>
          <w:rtl/>
        </w:rPr>
        <w:t xml:space="preserve">אליעזר, היון, 2018, </w:t>
      </w:r>
      <w:proofErr w:type="spellStart"/>
      <w:r w:rsidRPr="00465C82">
        <w:rPr>
          <w:rFonts w:cs="David"/>
          <w:b/>
          <w:bCs/>
          <w:rtl/>
        </w:rPr>
        <w:t>הרש"ר</w:t>
      </w:r>
      <w:proofErr w:type="spellEnd"/>
      <w:r w:rsidRPr="00465C82">
        <w:rPr>
          <w:rFonts w:cs="David"/>
          <w:b/>
          <w:bCs/>
          <w:rtl/>
        </w:rPr>
        <w:t xml:space="preserve"> הירש – מיתוס חריג בחברת הלומדים החרדית</w:t>
      </w:r>
      <w:r>
        <w:rPr>
          <w:rFonts w:cs="David" w:hint="cs"/>
          <w:b/>
          <w:bCs/>
          <w:rtl/>
        </w:rPr>
        <w:t xml:space="preserve">. </w:t>
      </w:r>
      <w:r w:rsidRPr="00465C82">
        <w:rPr>
          <w:rFonts w:cs="David" w:hint="cs"/>
          <w:rtl/>
        </w:rPr>
        <w:t>המרכז לחקר החברה החרדית, ירושלים.</w:t>
      </w:r>
    </w:p>
    <w:p w:rsidR="00760AD0" w:rsidRPr="00465C82" w:rsidRDefault="00760AD0" w:rsidP="00760AD0">
      <w:pPr>
        <w:tabs>
          <w:tab w:val="right" w:pos="26"/>
        </w:tabs>
        <w:ind w:left="594" w:right="851"/>
        <w:rPr>
          <w:rFonts w:cs="David"/>
          <w:rtl/>
        </w:rPr>
      </w:pPr>
    </w:p>
    <w:p w:rsidR="00465C82" w:rsidRDefault="00465C82" w:rsidP="00306717">
      <w:pPr>
        <w:ind w:left="594" w:right="851"/>
        <w:rPr>
          <w:rFonts w:cs="David"/>
          <w:rtl/>
        </w:rPr>
      </w:pPr>
      <w:hyperlink r:id="rId9" w:history="1">
        <w:r w:rsidRPr="00285AD9">
          <w:rPr>
            <w:rStyle w:val="Hyperlink"/>
            <w:rFonts w:cs="David"/>
          </w:rPr>
          <w:t>https://haredisociety.org/uploads/files/539643109917872176-eliezae-hayoun.pdf</w:t>
        </w:r>
      </w:hyperlink>
    </w:p>
    <w:p w:rsidR="00465C82" w:rsidRDefault="00465C82" w:rsidP="00306717">
      <w:pPr>
        <w:ind w:left="594" w:right="851"/>
        <w:rPr>
          <w:rFonts w:cs="David"/>
          <w:rtl/>
        </w:rPr>
      </w:pPr>
    </w:p>
    <w:p w:rsidR="000B4832" w:rsidRPr="007709D3" w:rsidRDefault="000B4832" w:rsidP="00306717">
      <w:pPr>
        <w:ind w:left="594" w:right="851"/>
        <w:rPr>
          <w:rFonts w:cs="David"/>
          <w:rtl/>
        </w:rPr>
      </w:pPr>
      <w:r w:rsidRPr="007709D3">
        <w:rPr>
          <w:rFonts w:cs="David" w:hint="cs"/>
          <w:rtl/>
        </w:rPr>
        <w:t xml:space="preserve">סיון, ע' וקפלן, ק' (עורכים), 2003, </w:t>
      </w:r>
      <w:r w:rsidRPr="007709D3">
        <w:rPr>
          <w:rFonts w:cs="David" w:hint="cs"/>
          <w:b/>
          <w:bCs/>
          <w:rtl/>
        </w:rPr>
        <w:t xml:space="preserve">חרדים בישראל : השתלבות בלא טמיעה? </w:t>
      </w:r>
      <w:r w:rsidRPr="007709D3">
        <w:rPr>
          <w:rFonts w:cs="David" w:hint="cs"/>
          <w:rtl/>
        </w:rPr>
        <w:t>ירוש</w:t>
      </w:r>
      <w:r>
        <w:rPr>
          <w:rFonts w:cs="David" w:hint="cs"/>
          <w:rtl/>
        </w:rPr>
        <w:t xml:space="preserve">לים: הקיבוץ המאוחד ומכון </w:t>
      </w:r>
      <w:proofErr w:type="spellStart"/>
      <w:r>
        <w:rPr>
          <w:rFonts w:cs="David" w:hint="cs"/>
          <w:rtl/>
        </w:rPr>
        <w:t>ון</w:t>
      </w:r>
      <w:proofErr w:type="spellEnd"/>
      <w:r>
        <w:rPr>
          <w:rFonts w:cs="David" w:hint="cs"/>
          <w:rtl/>
        </w:rPr>
        <w:t xml:space="preserve"> ליר, עמודים 32-55. (</w:t>
      </w:r>
      <w:r w:rsidR="00080399">
        <w:rPr>
          <w:rFonts w:cs="David" w:hint="cs"/>
          <w:rtl/>
        </w:rPr>
        <w:t>רשות</w:t>
      </w:r>
      <w:r>
        <w:rPr>
          <w:rFonts w:cs="David" w:hint="cs"/>
          <w:rtl/>
        </w:rPr>
        <w:t>)</w:t>
      </w:r>
    </w:p>
    <w:p w:rsidR="000B4832" w:rsidRPr="00907586" w:rsidRDefault="000B4832" w:rsidP="00306717">
      <w:pPr>
        <w:ind w:left="594" w:right="851"/>
        <w:rPr>
          <w:rFonts w:ascii="Arial" w:hAnsi="Arial" w:cs="David"/>
          <w:rtl/>
        </w:rPr>
      </w:pPr>
    </w:p>
    <w:p w:rsidR="00503082" w:rsidRPr="007315C0" w:rsidRDefault="00413F57" w:rsidP="00413F57">
      <w:pPr>
        <w:pStyle w:val="a3"/>
        <w:bidi w:val="0"/>
        <w:spacing w:line="240" w:lineRule="auto"/>
        <w:ind w:left="594" w:right="851"/>
        <w:rPr>
          <w:rFonts w:ascii="Times New Roman" w:hAnsi="Times New Roman" w:cs="David"/>
          <w:sz w:val="24"/>
          <w:szCs w:val="24"/>
        </w:rPr>
      </w:pPr>
      <w:r w:rsidRPr="00413F57">
        <w:rPr>
          <w:rFonts w:ascii="Times New Roman" w:hAnsi="Times New Roman" w:cs="Times New Roman"/>
          <w:sz w:val="24"/>
          <w:szCs w:val="24"/>
        </w:rPr>
        <w:t>Benjamin Brown,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413F57">
        <w:rPr>
          <w:rFonts w:ascii="Times New Roman" w:hAnsi="Times New Roman" w:cs="Times New Roman"/>
          <w:sz w:val="24"/>
          <w:szCs w:val="24"/>
        </w:rPr>
        <w:t>"Orthodox Judaism", in: The Blackwell Companion to Judaism, pp. 311-333</w:t>
      </w:r>
      <w:r w:rsidR="007315C0">
        <w:rPr>
          <w:rFonts w:ascii="Times New Roman" w:hAnsi="Times New Roman" w:cs="Times New Roman"/>
          <w:sz w:val="24"/>
          <w:szCs w:val="24"/>
        </w:rPr>
        <w:t xml:space="preserve">. </w:t>
      </w:r>
      <w:r w:rsidR="007315C0" w:rsidRPr="007315C0">
        <w:rPr>
          <w:rFonts w:ascii="Times New Roman" w:hAnsi="Times New Roman" w:cs="David"/>
          <w:sz w:val="24"/>
          <w:szCs w:val="24"/>
        </w:rPr>
        <w:t>(</w:t>
      </w:r>
      <w:r w:rsidR="007315C0" w:rsidRPr="007315C0">
        <w:rPr>
          <w:rFonts w:ascii="Times New Roman" w:hAnsi="Times New Roman" w:cs="David" w:hint="cs"/>
          <w:sz w:val="24"/>
          <w:szCs w:val="24"/>
          <w:rtl/>
        </w:rPr>
        <w:t>רשות</w:t>
      </w:r>
      <w:r w:rsidR="007315C0" w:rsidRPr="007315C0">
        <w:rPr>
          <w:rFonts w:ascii="Times New Roman" w:hAnsi="Times New Roman" w:cs="David"/>
          <w:sz w:val="24"/>
          <w:szCs w:val="24"/>
        </w:rPr>
        <w:t>)</w:t>
      </w:r>
    </w:p>
    <w:p w:rsidR="00413F57" w:rsidRPr="00503082" w:rsidRDefault="00413F57" w:rsidP="00413F57">
      <w:pPr>
        <w:pStyle w:val="a3"/>
        <w:bidi w:val="0"/>
        <w:spacing w:line="240" w:lineRule="auto"/>
        <w:ind w:left="594" w:right="851"/>
        <w:rPr>
          <w:rFonts w:ascii="Times New Roman" w:hAnsi="Times New Roman" w:cs="David"/>
          <w:sz w:val="24"/>
          <w:szCs w:val="24"/>
        </w:rPr>
      </w:pPr>
    </w:p>
    <w:p w:rsidR="000B4832" w:rsidRDefault="000B4832" w:rsidP="00306717">
      <w:pPr>
        <w:pStyle w:val="a3"/>
        <w:spacing w:line="240" w:lineRule="auto"/>
        <w:ind w:left="594" w:right="851"/>
        <w:rPr>
          <w:rFonts w:ascii="Times New Roman" w:hAnsi="Times New Roman" w:cs="David"/>
          <w:sz w:val="24"/>
          <w:szCs w:val="24"/>
          <w:rtl/>
        </w:rPr>
      </w:pPr>
    </w:p>
    <w:p w:rsidR="000B4832" w:rsidRPr="00103A78" w:rsidRDefault="00F169D3" w:rsidP="00306717">
      <w:pPr>
        <w:pStyle w:val="a3"/>
        <w:spacing w:line="240" w:lineRule="auto"/>
        <w:ind w:left="594" w:right="851"/>
        <w:rPr>
          <w:rFonts w:ascii="Times New Roman" w:hAnsi="Times New Roman" w:cs="David"/>
          <w:b/>
          <w:bCs/>
          <w:i/>
          <w:iCs/>
          <w:sz w:val="26"/>
          <w:szCs w:val="26"/>
          <w:rtl/>
        </w:rPr>
      </w:pPr>
      <w:r w:rsidRPr="00103A78">
        <w:rPr>
          <w:rFonts w:ascii="Times New Roman" w:hAnsi="Times New Roman" w:cs="David" w:hint="cs"/>
          <w:i/>
          <w:iCs/>
          <w:sz w:val="26"/>
          <w:szCs w:val="26"/>
          <w:rtl/>
        </w:rPr>
        <w:t>ב.</w:t>
      </w:r>
      <w:r w:rsidR="000B4832" w:rsidRPr="00103A78">
        <w:rPr>
          <w:rFonts w:ascii="Times New Roman" w:hAnsi="Times New Roman" w:cs="David" w:hint="cs"/>
          <w:i/>
          <w:iCs/>
          <w:sz w:val="26"/>
          <w:szCs w:val="26"/>
          <w:rtl/>
        </w:rPr>
        <w:t xml:space="preserve"> </w:t>
      </w:r>
      <w:r w:rsidR="00C9770F" w:rsidRPr="00103A78">
        <w:rPr>
          <w:rFonts w:ascii="Times New Roman" w:hAnsi="Times New Roman" w:cs="David" w:hint="cs"/>
          <w:b/>
          <w:bCs/>
          <w:i/>
          <w:iCs/>
          <w:sz w:val="26"/>
          <w:szCs w:val="26"/>
          <w:rtl/>
        </w:rPr>
        <w:t>על</w:t>
      </w:r>
      <w:r w:rsidR="0071660F" w:rsidRPr="00103A78">
        <w:rPr>
          <w:rFonts w:ascii="Times New Roman" w:hAnsi="Times New Roman" w:cs="David" w:hint="cs"/>
          <w:b/>
          <w:bCs/>
          <w:i/>
          <w:iCs/>
          <w:sz w:val="26"/>
          <w:szCs w:val="26"/>
          <w:rtl/>
        </w:rPr>
        <w:t xml:space="preserve"> חינוך והשכלה גבוהה</w:t>
      </w:r>
      <w:r w:rsidR="00C9770F" w:rsidRPr="00103A78">
        <w:rPr>
          <w:rFonts w:ascii="Times New Roman" w:hAnsi="Times New Roman" w:cs="David" w:hint="cs"/>
          <w:b/>
          <w:bCs/>
          <w:i/>
          <w:iCs/>
          <w:sz w:val="26"/>
          <w:szCs w:val="26"/>
          <w:rtl/>
        </w:rPr>
        <w:t xml:space="preserve"> בחברה החרדית</w:t>
      </w:r>
    </w:p>
    <w:p w:rsidR="000B4832" w:rsidRDefault="000B4832" w:rsidP="00306717">
      <w:pPr>
        <w:pStyle w:val="a3"/>
        <w:spacing w:line="240" w:lineRule="auto"/>
        <w:ind w:left="594" w:right="851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0B4832" w:rsidRDefault="000B4832" w:rsidP="00306717">
      <w:pPr>
        <w:ind w:left="594" w:right="851"/>
        <w:rPr>
          <w:rFonts w:cs="David"/>
          <w:rtl/>
        </w:rPr>
      </w:pPr>
    </w:p>
    <w:p w:rsidR="000B4832" w:rsidRDefault="000B4832" w:rsidP="004D6F96">
      <w:pPr>
        <w:ind w:left="594" w:right="851"/>
        <w:rPr>
          <w:rFonts w:cs="David"/>
          <w:rtl/>
        </w:rPr>
      </w:pPr>
      <w:r w:rsidRPr="003319EA">
        <w:rPr>
          <w:rFonts w:cs="David" w:hint="cs"/>
          <w:rtl/>
        </w:rPr>
        <w:t>שוורץ</w:t>
      </w:r>
      <w:r w:rsidRPr="007709D3">
        <w:rPr>
          <w:rFonts w:cs="David" w:hint="cs"/>
          <w:rtl/>
        </w:rPr>
        <w:t xml:space="preserve">, י', תשנ"ח, </w:t>
      </w:r>
      <w:r w:rsidRPr="007709D3">
        <w:rPr>
          <w:rFonts w:cs="David" w:hint="cs"/>
          <w:b/>
          <w:bCs/>
          <w:rtl/>
        </w:rPr>
        <w:t xml:space="preserve">מהפכת חינוך הבנות בדורנו - תולדותיה ופועלה של מרת שרה </w:t>
      </w:r>
      <w:proofErr w:type="spellStart"/>
      <w:r w:rsidRPr="007709D3">
        <w:rPr>
          <w:rFonts w:cs="David" w:hint="cs"/>
          <w:b/>
          <w:bCs/>
          <w:rtl/>
        </w:rPr>
        <w:t>שנירר</w:t>
      </w:r>
      <w:proofErr w:type="spellEnd"/>
      <w:r w:rsidRPr="007709D3">
        <w:rPr>
          <w:rFonts w:cs="David" w:hint="cs"/>
          <w:rtl/>
        </w:rPr>
        <w:t xml:space="preserve">, ירושלים: ספרית </w:t>
      </w:r>
      <w:proofErr w:type="spellStart"/>
      <w:r w:rsidRPr="007709D3">
        <w:rPr>
          <w:rFonts w:cs="David" w:hint="cs"/>
          <w:rtl/>
        </w:rPr>
        <w:t>ליבוביץ-קעסט</w:t>
      </w:r>
      <w:proofErr w:type="spellEnd"/>
      <w:r w:rsidRPr="007709D3">
        <w:rPr>
          <w:rFonts w:cs="David" w:hint="cs"/>
          <w:rtl/>
        </w:rPr>
        <w:t>.</w:t>
      </w:r>
      <w:r w:rsidR="007315C0">
        <w:rPr>
          <w:rFonts w:cs="David" w:hint="cs"/>
          <w:rtl/>
        </w:rPr>
        <w:t xml:space="preserve"> </w:t>
      </w:r>
      <w:bookmarkStart w:id="0" w:name="_GoBack"/>
      <w:bookmarkEnd w:id="0"/>
    </w:p>
    <w:p w:rsidR="000B4832" w:rsidRPr="001A4CD8" w:rsidRDefault="000B4832" w:rsidP="00306717">
      <w:pPr>
        <w:pStyle w:val="a3"/>
        <w:spacing w:line="240" w:lineRule="auto"/>
        <w:ind w:left="594" w:right="851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0B4832" w:rsidRPr="007709D3" w:rsidRDefault="000B4832" w:rsidP="00306717">
      <w:pPr>
        <w:ind w:left="594" w:right="851"/>
        <w:rPr>
          <w:rFonts w:cs="David"/>
        </w:rPr>
      </w:pPr>
      <w:proofErr w:type="spellStart"/>
      <w:r w:rsidRPr="007709D3">
        <w:rPr>
          <w:rFonts w:cs="David" w:hint="cs"/>
          <w:rtl/>
        </w:rPr>
        <w:t>לופו,י</w:t>
      </w:r>
      <w:proofErr w:type="spellEnd"/>
      <w:r w:rsidRPr="007709D3">
        <w:rPr>
          <w:rFonts w:cs="David" w:hint="cs"/>
          <w:rtl/>
        </w:rPr>
        <w:t xml:space="preserve">' , 2003,  </w:t>
      </w:r>
      <w:r w:rsidRPr="007709D3">
        <w:rPr>
          <w:rFonts w:cs="David" w:hint="cs"/>
          <w:b/>
          <w:bCs/>
          <w:rtl/>
        </w:rPr>
        <w:t xml:space="preserve">מפנה בחברה החרדית </w:t>
      </w:r>
      <w:r w:rsidRPr="007709D3">
        <w:rPr>
          <w:rFonts w:cs="David"/>
          <w:b/>
          <w:bCs/>
          <w:rtl/>
        </w:rPr>
        <w:t>–</w:t>
      </w:r>
      <w:r w:rsidRPr="007709D3">
        <w:rPr>
          <w:rFonts w:cs="David" w:hint="cs"/>
          <w:b/>
          <w:bCs/>
          <w:rtl/>
        </w:rPr>
        <w:t xml:space="preserve"> הכשרה מקצועית ולימודים אקדמיים</w:t>
      </w:r>
      <w:r w:rsidRPr="007709D3">
        <w:rPr>
          <w:rFonts w:cs="David" w:hint="cs"/>
          <w:rtl/>
        </w:rPr>
        <w:t>,</w:t>
      </w:r>
      <w:r w:rsidR="008A4B4C">
        <w:rPr>
          <w:rFonts w:cs="David" w:hint="cs"/>
          <w:rtl/>
        </w:rPr>
        <w:t xml:space="preserve"> </w:t>
      </w:r>
      <w:r w:rsidRPr="007709D3">
        <w:rPr>
          <w:rFonts w:cs="David" w:hint="cs"/>
          <w:rtl/>
        </w:rPr>
        <w:t xml:space="preserve">ירושלים: מכון </w:t>
      </w:r>
      <w:proofErr w:type="spellStart"/>
      <w:r w:rsidRPr="007709D3">
        <w:rPr>
          <w:rFonts w:cs="David" w:hint="cs"/>
          <w:rtl/>
        </w:rPr>
        <w:t>פלורסהיימר</w:t>
      </w:r>
      <w:proofErr w:type="spellEnd"/>
      <w:r w:rsidRPr="007709D3">
        <w:rPr>
          <w:rFonts w:cs="David" w:hint="cs"/>
          <w:rtl/>
        </w:rPr>
        <w:t xml:space="preserve">. </w:t>
      </w:r>
      <w:r w:rsidR="007315C0">
        <w:rPr>
          <w:rFonts w:cs="David" w:hint="cs"/>
          <w:rtl/>
        </w:rPr>
        <w:t>(רשות)</w:t>
      </w:r>
    </w:p>
    <w:p w:rsidR="000B4832" w:rsidRPr="003F2DF0" w:rsidRDefault="000B4832" w:rsidP="00306717">
      <w:pPr>
        <w:ind w:left="594" w:right="851"/>
        <w:rPr>
          <w:rFonts w:cs="David"/>
          <w:rtl/>
        </w:rPr>
      </w:pPr>
    </w:p>
    <w:p w:rsidR="00ED7D75" w:rsidRDefault="00ED7D75" w:rsidP="001F6897">
      <w:pPr>
        <w:ind w:left="594" w:right="851"/>
        <w:rPr>
          <w:rFonts w:cs="David"/>
          <w:rtl/>
        </w:rPr>
      </w:pPr>
      <w:r w:rsidRPr="00ED7D75">
        <w:rPr>
          <w:rFonts w:cs="David"/>
          <w:rtl/>
        </w:rPr>
        <w:t>'</w:t>
      </w:r>
      <w:proofErr w:type="spellStart"/>
      <w:r w:rsidRPr="00ED7D75">
        <w:rPr>
          <w:rFonts w:cs="David"/>
          <w:rtl/>
        </w:rPr>
        <w:t>אגורא</w:t>
      </w:r>
      <w:proofErr w:type="spellEnd"/>
      <w:r w:rsidRPr="00ED7D75">
        <w:rPr>
          <w:rFonts w:cs="David"/>
          <w:rtl/>
        </w:rPr>
        <w:t xml:space="preserve"> מדיניות'</w:t>
      </w:r>
      <w:r>
        <w:rPr>
          <w:rFonts w:cs="David" w:hint="cs"/>
          <w:rtl/>
        </w:rPr>
        <w:t>,</w:t>
      </w:r>
      <w:r w:rsidR="00DD1A18">
        <w:rPr>
          <w:rFonts w:cs="David" w:hint="cs"/>
          <w:rtl/>
        </w:rPr>
        <w:t>2014,</w:t>
      </w:r>
      <w:r>
        <w:rPr>
          <w:rFonts w:cs="David" w:hint="cs"/>
          <w:rtl/>
        </w:rPr>
        <w:t xml:space="preserve"> </w:t>
      </w:r>
      <w:proofErr w:type="spellStart"/>
      <w:r w:rsidRPr="001F6897">
        <w:rPr>
          <w:rFonts w:cs="David"/>
          <w:b/>
          <w:bCs/>
          <w:rtl/>
        </w:rPr>
        <w:t>תוכנית</w:t>
      </w:r>
      <w:proofErr w:type="spellEnd"/>
      <w:r w:rsidRPr="001F6897">
        <w:rPr>
          <w:rFonts w:cs="David"/>
          <w:b/>
          <w:bCs/>
          <w:rtl/>
        </w:rPr>
        <w:t xml:space="preserve"> אב למיפוי החינוך החרדי בישראל</w:t>
      </w:r>
      <w:r w:rsidRPr="001F6897">
        <w:rPr>
          <w:rFonts w:cs="David" w:hint="cs"/>
          <w:b/>
          <w:bCs/>
          <w:rtl/>
        </w:rPr>
        <w:t>,</w:t>
      </w:r>
      <w:r w:rsidRPr="001F6897">
        <w:rPr>
          <w:rFonts w:cs="David"/>
          <w:b/>
          <w:bCs/>
          <w:rtl/>
        </w:rPr>
        <w:t xml:space="preserve"> </w:t>
      </w:r>
      <w:r w:rsidR="001F6897" w:rsidRPr="001F6897">
        <w:rPr>
          <w:rFonts w:cs="David"/>
          <w:b/>
          <w:bCs/>
          <w:rtl/>
        </w:rPr>
        <w:t>סיכום ותובנות</w:t>
      </w:r>
      <w:r w:rsidR="001F6897">
        <w:rPr>
          <w:rFonts w:cs="David" w:hint="cs"/>
          <w:rtl/>
        </w:rPr>
        <w:t>.</w:t>
      </w:r>
      <w:r w:rsidRPr="00ED7D75">
        <w:rPr>
          <w:rFonts w:cs="David"/>
          <w:rtl/>
        </w:rPr>
        <w:t xml:space="preserve"> לשכת המדען הראשי</w:t>
      </w:r>
      <w:r w:rsidR="001F6897">
        <w:rPr>
          <w:rFonts w:cs="David" w:hint="cs"/>
          <w:rtl/>
        </w:rPr>
        <w:t>.</w:t>
      </w:r>
    </w:p>
    <w:p w:rsidR="009079B2" w:rsidRDefault="009079B2" w:rsidP="009079B2">
      <w:pPr>
        <w:ind w:left="594" w:right="851"/>
        <w:rPr>
          <w:rFonts w:cs="David"/>
          <w:rtl/>
        </w:rPr>
      </w:pPr>
    </w:p>
    <w:p w:rsidR="009079B2" w:rsidRDefault="00760AD0" w:rsidP="00760AD0">
      <w:pPr>
        <w:ind w:left="594" w:right="851"/>
        <w:rPr>
          <w:rFonts w:cs="David"/>
          <w:rtl/>
        </w:rPr>
      </w:pPr>
      <w:proofErr w:type="spellStart"/>
      <w:r>
        <w:rPr>
          <w:rFonts w:cs="David" w:hint="cs"/>
          <w:rtl/>
        </w:rPr>
        <w:t>קלעג'י</w:t>
      </w:r>
      <w:proofErr w:type="spellEnd"/>
      <w:r>
        <w:rPr>
          <w:rFonts w:cs="David" w:hint="cs"/>
          <w:rtl/>
        </w:rPr>
        <w:t xml:space="preserve">, ת', בראון- </w:t>
      </w:r>
      <w:proofErr w:type="spellStart"/>
      <w:r>
        <w:rPr>
          <w:rFonts w:cs="David" w:hint="cs"/>
          <w:rtl/>
        </w:rPr>
        <w:t>לבינסון</w:t>
      </w:r>
      <w:proofErr w:type="spellEnd"/>
      <w:r>
        <w:rPr>
          <w:rFonts w:cs="David" w:hint="cs"/>
          <w:rtl/>
        </w:rPr>
        <w:t xml:space="preserve">, א', 2017. השתלבות מתבדלת: חרדים אקדמאים במשק הישראלי. ירושלים: המכון הישראלי לדמוקרטיה. (חובה). </w:t>
      </w:r>
      <w:hyperlink r:id="rId10" w:history="1">
        <w:r w:rsidRPr="00531764">
          <w:rPr>
            <w:rStyle w:val="Hyperlink"/>
            <w:rFonts w:cs="David"/>
          </w:rPr>
          <w:t>https://www.idi.org.il/books/15789</w:t>
        </w:r>
      </w:hyperlink>
    </w:p>
    <w:p w:rsidR="00760AD0" w:rsidRDefault="00760AD0" w:rsidP="00760AD0">
      <w:pPr>
        <w:ind w:left="594" w:right="851"/>
        <w:rPr>
          <w:rFonts w:cs="David"/>
          <w:rtl/>
        </w:rPr>
      </w:pPr>
    </w:p>
    <w:p w:rsidR="009079B2" w:rsidRPr="00ED7D75" w:rsidRDefault="009079B2" w:rsidP="00ED7D75">
      <w:pPr>
        <w:ind w:left="594" w:right="851"/>
        <w:rPr>
          <w:rFonts w:cs="David"/>
          <w:rtl/>
        </w:rPr>
      </w:pPr>
    </w:p>
    <w:p w:rsidR="00105E7B" w:rsidRPr="00103A78" w:rsidRDefault="008418C5" w:rsidP="008366F3">
      <w:pPr>
        <w:ind w:left="595" w:right="851"/>
        <w:rPr>
          <w:rFonts w:ascii="Arial" w:hAnsi="Arial" w:cs="David"/>
          <w:b/>
          <w:bCs/>
          <w:i/>
          <w:iCs/>
          <w:sz w:val="26"/>
          <w:szCs w:val="26"/>
          <w:rtl/>
        </w:rPr>
      </w:pPr>
      <w:r w:rsidRPr="00103A78">
        <w:rPr>
          <w:rFonts w:ascii="Arial" w:hAnsi="Arial" w:cs="David" w:hint="cs"/>
          <w:b/>
          <w:bCs/>
          <w:i/>
          <w:iCs/>
          <w:sz w:val="26"/>
          <w:szCs w:val="26"/>
          <w:rtl/>
        </w:rPr>
        <w:t>ג.</w:t>
      </w:r>
      <w:r w:rsidR="008366F3">
        <w:rPr>
          <w:rFonts w:ascii="Arial" w:hAnsi="Arial" w:cs="David" w:hint="cs"/>
          <w:b/>
          <w:bCs/>
          <w:i/>
          <w:iCs/>
          <w:sz w:val="26"/>
          <w:szCs w:val="26"/>
          <w:rtl/>
        </w:rPr>
        <w:t xml:space="preserve"> תהליכי שינוי בחברה החרדית- היבטים כלכלים חברתיים</w:t>
      </w:r>
    </w:p>
    <w:p w:rsidR="00531295" w:rsidRDefault="008418C5" w:rsidP="00760AD0">
      <w:pPr>
        <w:ind w:left="594" w:right="851"/>
        <w:rPr>
          <w:rFonts w:ascii="Arial" w:hAnsi="Arial" w:cs="David"/>
          <w:rtl/>
        </w:rPr>
      </w:pPr>
      <w:r>
        <w:rPr>
          <w:rFonts w:ascii="Arial" w:hAnsi="Arial" w:cs="David"/>
          <w:b/>
          <w:bCs/>
          <w:rtl/>
        </w:rPr>
        <w:br/>
      </w:r>
      <w:proofErr w:type="spellStart"/>
      <w:r w:rsidR="00531295" w:rsidRPr="00531295">
        <w:rPr>
          <w:rFonts w:ascii="Arial" w:hAnsi="Arial" w:cs="David"/>
          <w:rtl/>
        </w:rPr>
        <w:t>שטדלר</w:t>
      </w:r>
      <w:proofErr w:type="spellEnd"/>
      <w:r w:rsidR="00531295" w:rsidRPr="00531295">
        <w:rPr>
          <w:rFonts w:ascii="Arial" w:hAnsi="Arial" w:cs="David"/>
          <w:rtl/>
        </w:rPr>
        <w:t xml:space="preserve">, נ' 2003. </w:t>
      </w:r>
      <w:r w:rsidR="008366F3">
        <w:rPr>
          <w:rFonts w:ascii="Arial" w:hAnsi="Arial" w:cs="David" w:hint="cs"/>
          <w:rtl/>
        </w:rPr>
        <w:t>"</w:t>
      </w:r>
      <w:r w:rsidR="00531295" w:rsidRPr="00531295">
        <w:rPr>
          <w:rFonts w:ascii="Arial" w:hAnsi="Arial" w:cs="David"/>
          <w:rtl/>
        </w:rPr>
        <w:t>להתפרנס או לחכות לנס: המלכוד החרדי והשתקפותו ביחסי תורה ועבודה</w:t>
      </w:r>
      <w:r w:rsidR="008366F3">
        <w:rPr>
          <w:rFonts w:ascii="Arial" w:hAnsi="Arial" w:cs="David" w:hint="cs"/>
          <w:rtl/>
        </w:rPr>
        <w:t>"</w:t>
      </w:r>
      <w:r w:rsidR="00531295" w:rsidRPr="00531295">
        <w:rPr>
          <w:rFonts w:ascii="Arial" w:hAnsi="Arial" w:cs="David"/>
          <w:rtl/>
        </w:rPr>
        <w:t xml:space="preserve">. בתוך: סיון, ע' וקפלן, ק' (עורכים), חרדים ישראלים: השתלבות בלא טמיעה? (55-32). ירושלים ותל-אביב: מכון </w:t>
      </w:r>
      <w:proofErr w:type="spellStart"/>
      <w:r w:rsidR="00531295" w:rsidRPr="00531295">
        <w:rPr>
          <w:rFonts w:ascii="Arial" w:hAnsi="Arial" w:cs="David"/>
          <w:rtl/>
        </w:rPr>
        <w:t>ון</w:t>
      </w:r>
      <w:proofErr w:type="spellEnd"/>
      <w:r w:rsidR="00531295" w:rsidRPr="00531295">
        <w:rPr>
          <w:rFonts w:ascii="Arial" w:hAnsi="Arial" w:cs="David"/>
          <w:rtl/>
        </w:rPr>
        <w:t xml:space="preserve">-ליר והוצאת הקיבוץ המאוחד. </w:t>
      </w:r>
      <w:r w:rsidR="00343D89">
        <w:rPr>
          <w:rFonts w:ascii="Arial" w:hAnsi="Arial" w:cs="David" w:hint="cs"/>
          <w:rtl/>
        </w:rPr>
        <w:t>(רשות)</w:t>
      </w:r>
    </w:p>
    <w:p w:rsidR="00531295" w:rsidRDefault="00531295" w:rsidP="00760AD0">
      <w:pPr>
        <w:ind w:left="594" w:right="851"/>
        <w:rPr>
          <w:rFonts w:ascii="Arial" w:hAnsi="Arial" w:cs="David"/>
          <w:rtl/>
        </w:rPr>
      </w:pPr>
    </w:p>
    <w:p w:rsidR="00103A78" w:rsidRDefault="00C97AEC" w:rsidP="00760AD0">
      <w:pPr>
        <w:ind w:left="594" w:right="851"/>
        <w:rPr>
          <w:rFonts w:cs="David"/>
          <w:rtl/>
        </w:rPr>
      </w:pPr>
      <w:r w:rsidRPr="00C97AEC">
        <w:rPr>
          <w:rFonts w:ascii="Arial" w:hAnsi="Arial" w:cs="David"/>
          <w:rtl/>
        </w:rPr>
        <w:t>ווגנר</w:t>
      </w:r>
      <w:r>
        <w:rPr>
          <w:rFonts w:ascii="Arial" w:hAnsi="Arial" w:cs="David" w:hint="cs"/>
          <w:rtl/>
        </w:rPr>
        <w:t>,</w:t>
      </w:r>
      <w:r w:rsidR="009A09F3">
        <w:rPr>
          <w:rFonts w:ascii="Arial" w:hAnsi="Arial" w:cs="David" w:hint="cs"/>
          <w:rtl/>
        </w:rPr>
        <w:t xml:space="preserve"> ד',</w:t>
      </w:r>
      <w:r>
        <w:rPr>
          <w:rFonts w:ascii="Arial" w:hAnsi="Arial" w:cs="David" w:hint="cs"/>
          <w:rtl/>
        </w:rPr>
        <w:t xml:space="preserve"> 2015, </w:t>
      </w:r>
      <w:r w:rsidRPr="00C97AEC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"</w:t>
      </w:r>
      <w:r w:rsidRPr="00C97AEC">
        <w:rPr>
          <w:rFonts w:ascii="Arial" w:hAnsi="Arial" w:cs="David"/>
          <w:rtl/>
        </w:rPr>
        <w:t>אבות אברכים: זהויות ותפקידים במשפחה החרדית בישראל</w:t>
      </w:r>
      <w:r>
        <w:rPr>
          <w:rFonts w:ascii="Arial" w:hAnsi="Arial" w:cs="David" w:hint="cs"/>
          <w:rtl/>
        </w:rPr>
        <w:t xml:space="preserve">". </w:t>
      </w:r>
      <w:r w:rsidRPr="009A09F3">
        <w:rPr>
          <w:rFonts w:ascii="Arial" w:hAnsi="Arial" w:cs="David"/>
          <w:b/>
          <w:bCs/>
          <w:rtl/>
        </w:rPr>
        <w:t>חקר החברה החרדית</w:t>
      </w:r>
      <w:r>
        <w:rPr>
          <w:rFonts w:ascii="Arial" w:hAnsi="Arial" w:cs="David"/>
          <w:rtl/>
        </w:rPr>
        <w:t>, כרך 2</w:t>
      </w:r>
      <w:r>
        <w:rPr>
          <w:rFonts w:ascii="Arial" w:hAnsi="Arial" w:cs="David" w:hint="cs"/>
          <w:rtl/>
        </w:rPr>
        <w:t>.</w:t>
      </w:r>
      <w:r w:rsidR="00103A78" w:rsidRPr="00103A78">
        <w:rPr>
          <w:rFonts w:cs="David"/>
          <w:rtl/>
        </w:rPr>
        <w:t xml:space="preserve"> </w:t>
      </w:r>
      <w:r w:rsidR="00103A78" w:rsidRPr="009079B2">
        <w:rPr>
          <w:rFonts w:cs="David"/>
          <w:rtl/>
        </w:rPr>
        <w:t>ירושלים: המכון הישראלי לדמוקרטיה.</w:t>
      </w:r>
      <w:r w:rsidR="00E64D25">
        <w:rPr>
          <w:rFonts w:cs="David" w:hint="cs"/>
          <w:rtl/>
        </w:rPr>
        <w:t xml:space="preserve"> (חובה)</w:t>
      </w:r>
    </w:p>
    <w:p w:rsidR="00105E7B" w:rsidRDefault="00105E7B" w:rsidP="00105E7B">
      <w:pPr>
        <w:ind w:left="595" w:right="851"/>
        <w:rPr>
          <w:rFonts w:ascii="Arial" w:hAnsi="Arial" w:cs="David"/>
          <w:rtl/>
        </w:rPr>
      </w:pPr>
    </w:p>
    <w:p w:rsidR="00D441D8" w:rsidRDefault="00535FB8" w:rsidP="00535FB8">
      <w:pPr>
        <w:ind w:left="595" w:right="851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רגב, א', 2013. </w:t>
      </w:r>
      <w:r w:rsidRPr="00535FB8">
        <w:rPr>
          <w:rFonts w:ascii="Arial" w:hAnsi="Arial" w:cs="David" w:hint="cs"/>
          <w:b/>
          <w:bCs/>
          <w:rtl/>
        </w:rPr>
        <w:t>השכלה ותעסוקה במגזר החרדי</w:t>
      </w:r>
      <w:r>
        <w:rPr>
          <w:rFonts w:ascii="Arial" w:hAnsi="Arial" w:cs="David" w:hint="cs"/>
          <w:rtl/>
        </w:rPr>
        <w:t xml:space="preserve">. ירושלים: מכון </w:t>
      </w:r>
      <w:proofErr w:type="spellStart"/>
      <w:r>
        <w:rPr>
          <w:rFonts w:ascii="Arial" w:hAnsi="Arial" w:cs="David" w:hint="cs"/>
          <w:rtl/>
        </w:rPr>
        <w:t>טאוב</w:t>
      </w:r>
      <w:proofErr w:type="spellEnd"/>
      <w:r>
        <w:rPr>
          <w:rFonts w:ascii="Arial" w:hAnsi="Arial" w:cs="David" w:hint="cs"/>
          <w:rtl/>
        </w:rPr>
        <w:t xml:space="preserve">. </w:t>
      </w:r>
      <w:hyperlink r:id="rId11" w:history="1">
        <w:r w:rsidRPr="00531764">
          <w:rPr>
            <w:rStyle w:val="Hyperlink"/>
            <w:rFonts w:ascii="Arial" w:hAnsi="Arial" w:cs="David"/>
          </w:rPr>
          <w:t>http://taubcenter.org.il/wp-content/files_mf/b1employmentandincomesharedimregev22.pdf</w:t>
        </w:r>
      </w:hyperlink>
      <w:r w:rsidR="00343D89">
        <w:rPr>
          <w:rFonts w:ascii="Arial" w:hAnsi="Arial" w:cs="David" w:hint="cs"/>
          <w:rtl/>
        </w:rPr>
        <w:t xml:space="preserve"> (חובה)</w:t>
      </w:r>
    </w:p>
    <w:p w:rsidR="00105E7B" w:rsidRPr="00105E7B" w:rsidRDefault="00105E7B" w:rsidP="00105E7B">
      <w:pPr>
        <w:spacing w:before="100" w:beforeAutospacing="1" w:after="100" w:afterAutospacing="1" w:line="360" w:lineRule="auto"/>
        <w:ind w:left="594" w:right="851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2013. </w:t>
      </w:r>
      <w:r w:rsidRPr="00105E7B">
        <w:rPr>
          <w:rFonts w:ascii="Arial" w:hAnsi="Arial" w:cs="David"/>
          <w:b/>
          <w:bCs/>
          <w:rtl/>
        </w:rPr>
        <w:t>חרדים לעתיד החברה</w:t>
      </w:r>
      <w:r w:rsidRPr="00105E7B">
        <w:rPr>
          <w:rFonts w:ascii="Arial" w:hAnsi="Arial" w:cs="David" w:hint="cs"/>
          <w:b/>
          <w:bCs/>
          <w:rtl/>
        </w:rPr>
        <w:t xml:space="preserve"> - </w:t>
      </w:r>
      <w:r w:rsidRPr="00105E7B">
        <w:rPr>
          <w:rFonts w:ascii="Arial" w:hAnsi="Arial" w:cs="David"/>
          <w:b/>
          <w:bCs/>
          <w:rtl/>
        </w:rPr>
        <w:t>ניירות עמדה בנושאי</w:t>
      </w:r>
      <w:r w:rsidRPr="00105E7B">
        <w:rPr>
          <w:rFonts w:ascii="Arial" w:hAnsi="Arial" w:cs="David" w:hint="cs"/>
          <w:b/>
          <w:bCs/>
          <w:rtl/>
        </w:rPr>
        <w:t xml:space="preserve"> </w:t>
      </w:r>
      <w:r w:rsidRPr="00105E7B">
        <w:rPr>
          <w:rFonts w:ascii="Arial" w:hAnsi="Arial" w:cs="David"/>
          <w:b/>
          <w:bCs/>
          <w:rtl/>
        </w:rPr>
        <w:t>כלכלה וחברה בישראל</w:t>
      </w:r>
      <w:r>
        <w:rPr>
          <w:rFonts w:ascii="Arial" w:hAnsi="Arial" w:cs="David" w:hint="cs"/>
          <w:rtl/>
        </w:rPr>
        <w:t xml:space="preserve">, </w:t>
      </w:r>
      <w:r w:rsidRPr="00105E7B">
        <w:rPr>
          <w:rFonts w:ascii="Arial" w:hAnsi="Arial" w:cs="David"/>
          <w:rtl/>
        </w:rPr>
        <w:t xml:space="preserve">מכון </w:t>
      </w:r>
      <w:proofErr w:type="spellStart"/>
      <w:r w:rsidRPr="00105E7B">
        <w:rPr>
          <w:rFonts w:ascii="Arial" w:hAnsi="Arial" w:cs="David"/>
          <w:rtl/>
        </w:rPr>
        <w:t>ון</w:t>
      </w:r>
      <w:proofErr w:type="spellEnd"/>
      <w:r w:rsidRPr="00105E7B">
        <w:rPr>
          <w:rFonts w:ascii="Arial" w:hAnsi="Arial" w:cs="David"/>
          <w:rtl/>
        </w:rPr>
        <w:t xml:space="preserve"> ליר בירושלים</w:t>
      </w:r>
      <w:r>
        <w:rPr>
          <w:rFonts w:ascii="Arial" w:hAnsi="Arial" w:cs="David" w:hint="cs"/>
          <w:rtl/>
        </w:rPr>
        <w:t>.</w:t>
      </w:r>
      <w:r w:rsidR="00E64D25">
        <w:rPr>
          <w:rFonts w:ascii="Arial" w:hAnsi="Arial" w:cs="David" w:hint="cs"/>
          <w:rtl/>
        </w:rPr>
        <w:t xml:space="preserve"> (רשות)</w:t>
      </w:r>
    </w:p>
    <w:p w:rsidR="000B4832" w:rsidRPr="00103A78" w:rsidRDefault="008418C5" w:rsidP="004D6F96">
      <w:pPr>
        <w:pStyle w:val="a3"/>
        <w:spacing w:line="240" w:lineRule="auto"/>
        <w:ind w:left="594" w:right="851"/>
        <w:rPr>
          <w:rFonts w:ascii="Times New Roman" w:hAnsi="Times New Roman" w:cs="David"/>
          <w:b/>
          <w:bCs/>
          <w:i/>
          <w:iCs/>
          <w:sz w:val="26"/>
          <w:szCs w:val="26"/>
          <w:rtl/>
        </w:rPr>
      </w:pPr>
      <w:r w:rsidRPr="00103A78">
        <w:rPr>
          <w:rFonts w:ascii="Times New Roman" w:hAnsi="Times New Roman" w:cs="David" w:hint="cs"/>
          <w:b/>
          <w:bCs/>
          <w:i/>
          <w:iCs/>
          <w:sz w:val="26"/>
          <w:szCs w:val="26"/>
          <w:rtl/>
        </w:rPr>
        <w:t>ד</w:t>
      </w:r>
      <w:r w:rsidR="000B4832" w:rsidRPr="00103A78">
        <w:rPr>
          <w:rFonts w:ascii="Times New Roman" w:hAnsi="Times New Roman" w:cs="David"/>
          <w:b/>
          <w:bCs/>
          <w:i/>
          <w:iCs/>
          <w:sz w:val="26"/>
          <w:szCs w:val="26"/>
          <w:rtl/>
        </w:rPr>
        <w:t xml:space="preserve">. </w:t>
      </w:r>
      <w:r w:rsidR="000B4832" w:rsidRPr="00103A78">
        <w:rPr>
          <w:rFonts w:ascii="Times New Roman" w:hAnsi="Times New Roman" w:cs="David" w:hint="cs"/>
          <w:b/>
          <w:bCs/>
          <w:i/>
          <w:iCs/>
          <w:sz w:val="26"/>
          <w:szCs w:val="26"/>
          <w:rtl/>
        </w:rPr>
        <w:t xml:space="preserve">החברה הישראלית </w:t>
      </w:r>
      <w:r w:rsidR="004D6F96">
        <w:rPr>
          <w:rFonts w:ascii="Times New Roman" w:hAnsi="Times New Roman" w:cs="David" w:hint="cs"/>
          <w:b/>
          <w:bCs/>
          <w:i/>
          <w:iCs/>
          <w:sz w:val="26"/>
          <w:szCs w:val="26"/>
          <w:rtl/>
        </w:rPr>
        <w:t>כ</w:t>
      </w:r>
      <w:r w:rsidR="000B4832" w:rsidRPr="00103A78">
        <w:rPr>
          <w:rFonts w:ascii="Times New Roman" w:hAnsi="Times New Roman" w:cs="David" w:hint="cs"/>
          <w:b/>
          <w:bCs/>
          <w:i/>
          <w:iCs/>
          <w:sz w:val="26"/>
          <w:szCs w:val="26"/>
          <w:rtl/>
        </w:rPr>
        <w:t xml:space="preserve">"רב תרבותית" </w:t>
      </w:r>
      <w:r w:rsidR="00C9770F" w:rsidRPr="00103A78">
        <w:rPr>
          <w:rFonts w:ascii="Times New Roman" w:hAnsi="Times New Roman" w:cs="David" w:hint="cs"/>
          <w:b/>
          <w:bCs/>
          <w:i/>
          <w:iCs/>
          <w:sz w:val="26"/>
          <w:szCs w:val="26"/>
          <w:rtl/>
        </w:rPr>
        <w:t>במפגש עם החברה החרדית</w:t>
      </w:r>
    </w:p>
    <w:p w:rsidR="00103A78" w:rsidRPr="00103A78" w:rsidRDefault="00103A78" w:rsidP="00103A78">
      <w:pPr>
        <w:pStyle w:val="a3"/>
        <w:spacing w:line="240" w:lineRule="auto"/>
        <w:ind w:left="594" w:right="851"/>
        <w:rPr>
          <w:rFonts w:ascii="Times New Roman" w:hAnsi="Times New Roman" w:cs="David"/>
          <w:i/>
          <w:iCs/>
          <w:sz w:val="26"/>
          <w:szCs w:val="26"/>
          <w:rtl/>
        </w:rPr>
      </w:pPr>
    </w:p>
    <w:p w:rsidR="000B4832" w:rsidRDefault="000B4832" w:rsidP="00306717">
      <w:pPr>
        <w:ind w:left="594" w:right="851"/>
        <w:rPr>
          <w:rFonts w:cs="David"/>
          <w:rtl/>
        </w:rPr>
      </w:pPr>
      <w:r>
        <w:rPr>
          <w:rFonts w:cs="David" w:hint="cs"/>
          <w:rtl/>
        </w:rPr>
        <w:t xml:space="preserve">ג'מאל, א' (עורך), 2007, </w:t>
      </w:r>
      <w:r w:rsidRPr="00C3638C">
        <w:rPr>
          <w:rFonts w:cs="David" w:hint="cs"/>
          <w:b/>
          <w:bCs/>
          <w:rtl/>
        </w:rPr>
        <w:t>רב תרבותיות ואתגרי האזרחות הדיפרנציאלית בישראל: שולחן עגול</w:t>
      </w:r>
      <w:r>
        <w:rPr>
          <w:rFonts w:cs="David" w:hint="cs"/>
          <w:rtl/>
        </w:rPr>
        <w:t xml:space="preserve">, תל אביב: מכון וולטר ליבך לחינוך לדו </w:t>
      </w:r>
      <w:r w:rsidR="008A4B4C">
        <w:rPr>
          <w:rFonts w:cs="David" w:hint="cs"/>
          <w:rtl/>
        </w:rPr>
        <w:t xml:space="preserve">קיום יהודי וערבי. </w:t>
      </w:r>
    </w:p>
    <w:p w:rsidR="000B4832" w:rsidRDefault="000B4832" w:rsidP="00306717">
      <w:pPr>
        <w:spacing w:line="360" w:lineRule="auto"/>
        <w:ind w:left="594" w:right="851"/>
        <w:rPr>
          <w:rFonts w:cs="David"/>
          <w:rtl/>
        </w:rPr>
      </w:pPr>
    </w:p>
    <w:p w:rsidR="000B4832" w:rsidRDefault="000B4832" w:rsidP="00306717">
      <w:pPr>
        <w:ind w:left="594" w:right="851"/>
        <w:rPr>
          <w:rFonts w:cs="David"/>
          <w:rtl/>
        </w:rPr>
      </w:pPr>
      <w:r>
        <w:rPr>
          <w:rFonts w:cs="David" w:hint="cs"/>
          <w:rtl/>
        </w:rPr>
        <w:t xml:space="preserve">הלפרין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קדרי</w:t>
      </w:r>
      <w:proofErr w:type="spellEnd"/>
      <w:r>
        <w:rPr>
          <w:rFonts w:cs="David" w:hint="cs"/>
          <w:rtl/>
        </w:rPr>
        <w:t xml:space="preserve">, ר', 2002, </w:t>
      </w:r>
      <w:r w:rsidRPr="00B656FB">
        <w:rPr>
          <w:rFonts w:cs="David" w:hint="cs"/>
          <w:b/>
          <w:bCs/>
          <w:rtl/>
        </w:rPr>
        <w:t>נשים, דת ורב תרבותיות בישראל</w:t>
      </w:r>
      <w:r>
        <w:rPr>
          <w:rFonts w:cs="David" w:hint="cs"/>
          <w:rtl/>
        </w:rPr>
        <w:t>, הפקולטה למשפטים, או</w:t>
      </w:r>
      <w:r w:rsidR="008A4B4C">
        <w:rPr>
          <w:rFonts w:cs="David" w:hint="cs"/>
          <w:rtl/>
        </w:rPr>
        <w:t>ניברסיטת בר אילן, רמת גן.</w:t>
      </w:r>
    </w:p>
    <w:p w:rsidR="000B4832" w:rsidRDefault="000B4832" w:rsidP="00306717">
      <w:pPr>
        <w:ind w:left="594" w:right="851"/>
        <w:rPr>
          <w:rFonts w:cs="David"/>
          <w:rtl/>
        </w:rPr>
      </w:pPr>
    </w:p>
    <w:p w:rsidR="000B4832" w:rsidRDefault="000B4832" w:rsidP="00306717">
      <w:pPr>
        <w:ind w:left="594" w:right="851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ולצר, מ', "אילו זכויות מגיעות לקהילות תרבותיות?", בתוך: נחתומי, א', (עורך), תשס"ג,  </w:t>
      </w:r>
      <w:r w:rsidRPr="00694837">
        <w:rPr>
          <w:rFonts w:ascii="Arial" w:hAnsi="Arial" w:cs="David" w:hint="cs"/>
          <w:b/>
          <w:bCs/>
          <w:rtl/>
        </w:rPr>
        <w:t>רב תרבותיות במבחן הישראליות</w:t>
      </w:r>
      <w:r>
        <w:rPr>
          <w:rFonts w:ascii="Arial" w:hAnsi="Arial" w:cs="David" w:hint="cs"/>
          <w:rtl/>
        </w:rPr>
        <w:t>, יר</w:t>
      </w:r>
      <w:r w:rsidR="008A4B4C">
        <w:rPr>
          <w:rFonts w:ascii="Arial" w:hAnsi="Arial" w:cs="David" w:hint="cs"/>
          <w:rtl/>
        </w:rPr>
        <w:t xml:space="preserve">ושלים: מאגנס. </w:t>
      </w:r>
      <w:proofErr w:type="spellStart"/>
      <w:r w:rsidR="008A4B4C">
        <w:rPr>
          <w:rFonts w:ascii="Arial" w:hAnsi="Arial" w:cs="David" w:hint="cs"/>
          <w:rtl/>
        </w:rPr>
        <w:t>עמ</w:t>
      </w:r>
      <w:proofErr w:type="spellEnd"/>
      <w:r w:rsidR="008A4B4C">
        <w:rPr>
          <w:rFonts w:ascii="Arial" w:hAnsi="Arial" w:cs="David" w:hint="cs"/>
          <w:rtl/>
        </w:rPr>
        <w:t>': 53-61.</w:t>
      </w:r>
    </w:p>
    <w:p w:rsidR="000B4832" w:rsidRDefault="000B4832" w:rsidP="00306717">
      <w:pPr>
        <w:ind w:left="594" w:right="851"/>
        <w:rPr>
          <w:rFonts w:ascii="Arial" w:hAnsi="Arial" w:cs="David"/>
          <w:rtl/>
        </w:rPr>
      </w:pPr>
    </w:p>
    <w:p w:rsidR="000B4832" w:rsidRDefault="000B4832" w:rsidP="00306717">
      <w:pPr>
        <w:ind w:left="594" w:right="851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טיילור, צ',  "הפוליטיקה של ההכרה", בתוך: נחתומי, א', (עורך), תשס"ג</w:t>
      </w:r>
      <w:r>
        <w:rPr>
          <w:rFonts w:ascii="Arial" w:hAnsi="Arial" w:cs="David" w:hint="cs"/>
          <w:b/>
          <w:bCs/>
          <w:rtl/>
        </w:rPr>
        <w:t xml:space="preserve">, </w:t>
      </w:r>
      <w:r w:rsidRPr="00694837">
        <w:rPr>
          <w:rFonts w:ascii="Arial" w:hAnsi="Arial" w:cs="David" w:hint="cs"/>
          <w:b/>
          <w:bCs/>
          <w:rtl/>
        </w:rPr>
        <w:t xml:space="preserve"> רב תרבותיות במבחן הישראליות</w:t>
      </w:r>
      <w:r>
        <w:rPr>
          <w:rFonts w:ascii="Arial" w:hAnsi="Arial" w:cs="David" w:hint="cs"/>
          <w:rtl/>
        </w:rPr>
        <w:t>, יר</w:t>
      </w:r>
      <w:r w:rsidR="008A4B4C">
        <w:rPr>
          <w:rFonts w:ascii="Arial" w:hAnsi="Arial" w:cs="David" w:hint="cs"/>
          <w:rtl/>
        </w:rPr>
        <w:t xml:space="preserve">ושלים: מאגנס. </w:t>
      </w:r>
      <w:proofErr w:type="spellStart"/>
      <w:r w:rsidR="008A4B4C">
        <w:rPr>
          <w:rFonts w:ascii="Arial" w:hAnsi="Arial" w:cs="David" w:hint="cs"/>
          <w:rtl/>
        </w:rPr>
        <w:t>עמ</w:t>
      </w:r>
      <w:proofErr w:type="spellEnd"/>
      <w:r w:rsidR="008A4B4C">
        <w:rPr>
          <w:rFonts w:ascii="Arial" w:hAnsi="Arial" w:cs="David" w:hint="cs"/>
          <w:rtl/>
        </w:rPr>
        <w:t>': 21-52.</w:t>
      </w:r>
    </w:p>
    <w:p w:rsidR="000B4832" w:rsidRDefault="000B4832" w:rsidP="00306717">
      <w:pPr>
        <w:ind w:left="594" w:right="851"/>
        <w:rPr>
          <w:rFonts w:cs="David"/>
          <w:rtl/>
        </w:rPr>
      </w:pPr>
    </w:p>
    <w:p w:rsidR="000B4832" w:rsidRPr="00694837" w:rsidRDefault="000B4832" w:rsidP="00306717">
      <w:pPr>
        <w:ind w:left="594" w:right="851"/>
        <w:rPr>
          <w:rFonts w:cs="David"/>
          <w:rtl/>
        </w:rPr>
      </w:pPr>
      <w:r w:rsidRPr="00694837">
        <w:rPr>
          <w:rFonts w:cs="David" w:hint="cs"/>
          <w:rtl/>
        </w:rPr>
        <w:t xml:space="preserve">יונה, י', 2005, </w:t>
      </w:r>
      <w:r w:rsidRPr="00694837">
        <w:rPr>
          <w:rFonts w:cs="David" w:hint="cs"/>
          <w:b/>
          <w:bCs/>
          <w:rtl/>
        </w:rPr>
        <w:t>בזכות ההבדל: הפרויקט הרב תרבותי בישראל</w:t>
      </w:r>
      <w:r w:rsidRPr="00694837">
        <w:rPr>
          <w:rFonts w:cs="David" w:hint="cs"/>
          <w:rtl/>
        </w:rPr>
        <w:t>, ירוש</w:t>
      </w:r>
      <w:r>
        <w:rPr>
          <w:rFonts w:cs="David" w:hint="cs"/>
          <w:rtl/>
        </w:rPr>
        <w:t xml:space="preserve">לים: מכון </w:t>
      </w:r>
      <w:proofErr w:type="spellStart"/>
      <w:r>
        <w:rPr>
          <w:rFonts w:cs="David" w:hint="cs"/>
          <w:rtl/>
        </w:rPr>
        <w:t>ון</w:t>
      </w:r>
      <w:proofErr w:type="spellEnd"/>
      <w:r>
        <w:rPr>
          <w:rFonts w:cs="David" w:hint="cs"/>
          <w:rtl/>
        </w:rPr>
        <w:t xml:space="preserve"> ליר והקיבוץ</w:t>
      </w:r>
      <w:r w:rsidR="008A4B4C">
        <w:rPr>
          <w:rFonts w:cs="David" w:hint="cs"/>
          <w:rtl/>
        </w:rPr>
        <w:t xml:space="preserve"> המאוחד, </w:t>
      </w:r>
      <w:proofErr w:type="spellStart"/>
      <w:r w:rsidR="008A4B4C">
        <w:rPr>
          <w:rFonts w:cs="David" w:hint="cs"/>
          <w:rtl/>
        </w:rPr>
        <w:t>עמ</w:t>
      </w:r>
      <w:proofErr w:type="spellEnd"/>
      <w:r w:rsidR="008A4B4C">
        <w:rPr>
          <w:rFonts w:cs="David" w:hint="cs"/>
          <w:rtl/>
        </w:rPr>
        <w:t xml:space="preserve">': 36-48. </w:t>
      </w:r>
    </w:p>
    <w:p w:rsidR="000B4832" w:rsidRDefault="000B4832" w:rsidP="00306717">
      <w:pPr>
        <w:ind w:left="594" w:right="851"/>
        <w:rPr>
          <w:rFonts w:cs="David"/>
          <w:rtl/>
        </w:rPr>
      </w:pPr>
    </w:p>
    <w:p w:rsidR="000B4832" w:rsidRDefault="000B4832" w:rsidP="00306717">
      <w:pPr>
        <w:ind w:left="594" w:right="851"/>
        <w:rPr>
          <w:rFonts w:cs="David"/>
          <w:rtl/>
        </w:rPr>
      </w:pPr>
      <w:r w:rsidRPr="007049A3">
        <w:rPr>
          <w:rFonts w:cs="David" w:hint="cs"/>
          <w:rtl/>
        </w:rPr>
        <w:t xml:space="preserve">לשם, א', תשס"ד, " ישראל כמדינה רב תרבותית בפתח המאה העשרים ואחת", בתוך: לשם, א', </w:t>
      </w:r>
      <w:proofErr w:type="spellStart"/>
      <w:r w:rsidRPr="007049A3">
        <w:rPr>
          <w:rFonts w:cs="David" w:hint="cs"/>
          <w:rtl/>
        </w:rPr>
        <w:t>ורואר</w:t>
      </w:r>
      <w:proofErr w:type="spellEnd"/>
      <w:r w:rsidRPr="007049A3">
        <w:rPr>
          <w:rFonts w:cs="David" w:hint="cs"/>
          <w:rtl/>
        </w:rPr>
        <w:t xml:space="preserve"> </w:t>
      </w:r>
      <w:r w:rsidRPr="007049A3">
        <w:rPr>
          <w:rFonts w:cs="David"/>
          <w:rtl/>
        </w:rPr>
        <w:t>–</w:t>
      </w:r>
      <w:r w:rsidRPr="007049A3">
        <w:rPr>
          <w:rFonts w:cs="David" w:hint="cs"/>
          <w:rtl/>
        </w:rPr>
        <w:t xml:space="preserve"> </w:t>
      </w:r>
      <w:proofErr w:type="spellStart"/>
      <w:r w:rsidRPr="007049A3">
        <w:rPr>
          <w:rFonts w:cs="David" w:hint="cs"/>
          <w:rtl/>
        </w:rPr>
        <w:t>סטריאר</w:t>
      </w:r>
      <w:proofErr w:type="spellEnd"/>
      <w:r w:rsidRPr="007049A3">
        <w:rPr>
          <w:rFonts w:cs="David" w:hint="cs"/>
          <w:rtl/>
        </w:rPr>
        <w:t xml:space="preserve">, ד' (עורכים),2003, </w:t>
      </w:r>
      <w:r w:rsidRPr="007049A3">
        <w:rPr>
          <w:rFonts w:cs="David" w:hint="cs"/>
          <w:b/>
          <w:bCs/>
          <w:rtl/>
        </w:rPr>
        <w:t>שונות תרבותית כאתגר לשירותי אנוש</w:t>
      </w:r>
      <w:r w:rsidRPr="007049A3">
        <w:rPr>
          <w:rFonts w:cs="David" w:hint="cs"/>
          <w:rtl/>
        </w:rPr>
        <w:t xml:space="preserve">, ירושלים: </w:t>
      </w:r>
      <w:r>
        <w:rPr>
          <w:rFonts w:cs="David" w:hint="cs"/>
          <w:rtl/>
        </w:rPr>
        <w:t xml:space="preserve">הוצאת מאגנס, האוניברסיטה העברית, </w:t>
      </w:r>
      <w:proofErr w:type="spellStart"/>
      <w:r>
        <w:rPr>
          <w:rFonts w:cs="David" w:hint="cs"/>
          <w:rtl/>
        </w:rPr>
        <w:t>עמ</w:t>
      </w:r>
      <w:proofErr w:type="spellEnd"/>
      <w:r>
        <w:rPr>
          <w:rFonts w:cs="David" w:hint="cs"/>
          <w:rtl/>
        </w:rPr>
        <w:t>':</w:t>
      </w:r>
      <w:r w:rsidRPr="007049A3">
        <w:rPr>
          <w:rFonts w:cs="David" w:hint="cs"/>
          <w:rtl/>
        </w:rPr>
        <w:t xml:space="preserve"> 13-111 .</w:t>
      </w:r>
    </w:p>
    <w:p w:rsidR="000B4832" w:rsidRPr="00907586" w:rsidRDefault="000B4832" w:rsidP="00343D89">
      <w:pPr>
        <w:spacing w:before="100" w:beforeAutospacing="1" w:after="100" w:afterAutospacing="1"/>
        <w:ind w:left="594" w:right="851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שגיא, א', "מחויבות ערכית וזהות בקיום רב תרבותי", בתוך: נחתומי, א', (עורך), </w:t>
      </w:r>
      <w:r w:rsidRPr="00812BB8">
        <w:rPr>
          <w:rFonts w:ascii="Arial" w:hAnsi="Arial" w:cs="David" w:hint="cs"/>
          <w:rtl/>
        </w:rPr>
        <w:t>תשס"ג,</w:t>
      </w:r>
      <w:r>
        <w:rPr>
          <w:rFonts w:ascii="Arial" w:hAnsi="Arial" w:cs="David" w:hint="cs"/>
          <w:b/>
          <w:bCs/>
          <w:rtl/>
        </w:rPr>
        <w:t xml:space="preserve"> </w:t>
      </w:r>
      <w:r w:rsidRPr="00694837">
        <w:rPr>
          <w:rFonts w:ascii="Arial" w:hAnsi="Arial" w:cs="David" w:hint="cs"/>
          <w:b/>
          <w:bCs/>
          <w:rtl/>
        </w:rPr>
        <w:t>רב תרבותיות במבחן הישראליות</w:t>
      </w:r>
      <w:r w:rsidR="008A4B4C">
        <w:rPr>
          <w:rFonts w:ascii="Arial" w:hAnsi="Arial" w:cs="David" w:hint="cs"/>
          <w:rtl/>
        </w:rPr>
        <w:t xml:space="preserve">, ירושלים: מאגנס, </w:t>
      </w:r>
      <w:proofErr w:type="spellStart"/>
      <w:r w:rsidR="008A4B4C">
        <w:rPr>
          <w:rFonts w:ascii="Arial" w:hAnsi="Arial" w:cs="David" w:hint="cs"/>
          <w:rtl/>
        </w:rPr>
        <w:t>עמ</w:t>
      </w:r>
      <w:proofErr w:type="spellEnd"/>
      <w:r w:rsidR="008A4B4C">
        <w:rPr>
          <w:rFonts w:ascii="Arial" w:hAnsi="Arial" w:cs="David" w:hint="cs"/>
          <w:rtl/>
        </w:rPr>
        <w:t>': 63-79.</w:t>
      </w:r>
    </w:p>
    <w:sectPr w:rsidR="000B4832" w:rsidRPr="00907586" w:rsidSect="000F281A">
      <w:footerReference w:type="even" r:id="rId12"/>
      <w:footerReference w:type="default" r:id="rId13"/>
      <w:pgSz w:w="11906" w:h="16838"/>
      <w:pgMar w:top="567" w:right="567" w:bottom="454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97" w:rsidRDefault="00A10E97">
      <w:r>
        <w:separator/>
      </w:r>
    </w:p>
  </w:endnote>
  <w:endnote w:type="continuationSeparator" w:id="0">
    <w:p w:rsidR="00A10E97" w:rsidRDefault="00A1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1D" w:rsidRDefault="000B4832" w:rsidP="008D306E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08091D" w:rsidRDefault="00A10E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1D" w:rsidRDefault="000B4832" w:rsidP="008D306E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4D6F96">
      <w:rPr>
        <w:rStyle w:val="a8"/>
        <w:noProof/>
        <w:rtl/>
      </w:rPr>
      <w:t>3</w:t>
    </w:r>
    <w:r>
      <w:rPr>
        <w:rStyle w:val="a8"/>
        <w:rtl/>
      </w:rPr>
      <w:fldChar w:fldCharType="end"/>
    </w:r>
  </w:p>
  <w:p w:rsidR="0008091D" w:rsidRDefault="00A10E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97" w:rsidRDefault="00A10E97">
      <w:r>
        <w:separator/>
      </w:r>
    </w:p>
  </w:footnote>
  <w:footnote w:type="continuationSeparator" w:id="0">
    <w:p w:rsidR="00A10E97" w:rsidRDefault="00A1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944"/>
    <w:multiLevelType w:val="hybridMultilevel"/>
    <w:tmpl w:val="AA30A024"/>
    <w:lvl w:ilvl="0" w:tplc="DF5EAC34">
      <w:start w:val="1"/>
      <w:numFmt w:val="hebrew1"/>
      <w:lvlText w:val="%1."/>
      <w:lvlJc w:val="left"/>
      <w:pPr>
        <w:ind w:left="8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02CD2918"/>
    <w:multiLevelType w:val="hybridMultilevel"/>
    <w:tmpl w:val="94DE8F90"/>
    <w:lvl w:ilvl="0" w:tplc="040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1E89132D"/>
    <w:multiLevelType w:val="hybridMultilevel"/>
    <w:tmpl w:val="A1D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3D80"/>
    <w:multiLevelType w:val="hybridMultilevel"/>
    <w:tmpl w:val="169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80BBA"/>
    <w:multiLevelType w:val="hybridMultilevel"/>
    <w:tmpl w:val="5686A3A4"/>
    <w:lvl w:ilvl="0" w:tplc="437A066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3C3"/>
    <w:multiLevelType w:val="hybridMultilevel"/>
    <w:tmpl w:val="0C9C226E"/>
    <w:lvl w:ilvl="0" w:tplc="DF5EAC34">
      <w:start w:val="1"/>
      <w:numFmt w:val="hebrew1"/>
      <w:lvlText w:val="%1."/>
      <w:lvlJc w:val="left"/>
      <w:pPr>
        <w:ind w:left="13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515149C0"/>
    <w:multiLevelType w:val="hybridMultilevel"/>
    <w:tmpl w:val="412EF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F409D"/>
    <w:multiLevelType w:val="hybridMultilevel"/>
    <w:tmpl w:val="B7EED83C"/>
    <w:lvl w:ilvl="0" w:tplc="CAF0DC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F60"/>
    <w:multiLevelType w:val="hybridMultilevel"/>
    <w:tmpl w:val="D34223DE"/>
    <w:lvl w:ilvl="0" w:tplc="77A8F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35957"/>
    <w:multiLevelType w:val="hybridMultilevel"/>
    <w:tmpl w:val="B80AE560"/>
    <w:lvl w:ilvl="0" w:tplc="DF5EAC34">
      <w:start w:val="1"/>
      <w:numFmt w:val="hebrew1"/>
      <w:lvlText w:val="%1.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0" w15:restartNumberingAfterBreak="0">
    <w:nsid w:val="68097443"/>
    <w:multiLevelType w:val="hybridMultilevel"/>
    <w:tmpl w:val="F7B2FCCA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32"/>
    <w:rsid w:val="00053B6C"/>
    <w:rsid w:val="000555B1"/>
    <w:rsid w:val="00080399"/>
    <w:rsid w:val="000931E5"/>
    <w:rsid w:val="000937D2"/>
    <w:rsid w:val="000B4832"/>
    <w:rsid w:val="000B7117"/>
    <w:rsid w:val="000F281A"/>
    <w:rsid w:val="00103A78"/>
    <w:rsid w:val="00105E7B"/>
    <w:rsid w:val="001159CF"/>
    <w:rsid w:val="00163DB7"/>
    <w:rsid w:val="001A2192"/>
    <w:rsid w:val="001B3C72"/>
    <w:rsid w:val="001B651F"/>
    <w:rsid w:val="001D0D2A"/>
    <w:rsid w:val="001F6897"/>
    <w:rsid w:val="00236708"/>
    <w:rsid w:val="00237B14"/>
    <w:rsid w:val="00267EBE"/>
    <w:rsid w:val="002B0BD0"/>
    <w:rsid w:val="002E2582"/>
    <w:rsid w:val="00306717"/>
    <w:rsid w:val="00306ACE"/>
    <w:rsid w:val="00326591"/>
    <w:rsid w:val="0033075C"/>
    <w:rsid w:val="00343D89"/>
    <w:rsid w:val="003916EC"/>
    <w:rsid w:val="003936D8"/>
    <w:rsid w:val="003C6B65"/>
    <w:rsid w:val="003E2567"/>
    <w:rsid w:val="00413F57"/>
    <w:rsid w:val="00416F70"/>
    <w:rsid w:val="004343C2"/>
    <w:rsid w:val="004550E9"/>
    <w:rsid w:val="00465C82"/>
    <w:rsid w:val="004728B3"/>
    <w:rsid w:val="00473B3C"/>
    <w:rsid w:val="004B4024"/>
    <w:rsid w:val="004D6F96"/>
    <w:rsid w:val="00503082"/>
    <w:rsid w:val="00513F3B"/>
    <w:rsid w:val="005248E3"/>
    <w:rsid w:val="00531295"/>
    <w:rsid w:val="0053422D"/>
    <w:rsid w:val="00535FB8"/>
    <w:rsid w:val="00566F2A"/>
    <w:rsid w:val="0056713A"/>
    <w:rsid w:val="00572FA5"/>
    <w:rsid w:val="00595222"/>
    <w:rsid w:val="005D5AA8"/>
    <w:rsid w:val="00661525"/>
    <w:rsid w:val="0067293F"/>
    <w:rsid w:val="006D4C42"/>
    <w:rsid w:val="006D51B8"/>
    <w:rsid w:val="00701A99"/>
    <w:rsid w:val="0071660F"/>
    <w:rsid w:val="007315C0"/>
    <w:rsid w:val="007548CE"/>
    <w:rsid w:val="00760AD0"/>
    <w:rsid w:val="00790AD8"/>
    <w:rsid w:val="007B60C1"/>
    <w:rsid w:val="007D737B"/>
    <w:rsid w:val="007E671A"/>
    <w:rsid w:val="008366F3"/>
    <w:rsid w:val="008418C5"/>
    <w:rsid w:val="008508DE"/>
    <w:rsid w:val="00854F36"/>
    <w:rsid w:val="008611D8"/>
    <w:rsid w:val="008617DE"/>
    <w:rsid w:val="00861ED8"/>
    <w:rsid w:val="008A4B4C"/>
    <w:rsid w:val="008E595B"/>
    <w:rsid w:val="0090478D"/>
    <w:rsid w:val="009079B2"/>
    <w:rsid w:val="009205CE"/>
    <w:rsid w:val="009A09F3"/>
    <w:rsid w:val="009A1A3B"/>
    <w:rsid w:val="009B1035"/>
    <w:rsid w:val="009C2224"/>
    <w:rsid w:val="009D6D93"/>
    <w:rsid w:val="009E312F"/>
    <w:rsid w:val="009E5DED"/>
    <w:rsid w:val="00A10E97"/>
    <w:rsid w:val="00A17FF6"/>
    <w:rsid w:val="00A3493F"/>
    <w:rsid w:val="00A71F40"/>
    <w:rsid w:val="00A777AB"/>
    <w:rsid w:val="00A845BD"/>
    <w:rsid w:val="00AD3D96"/>
    <w:rsid w:val="00B1198F"/>
    <w:rsid w:val="00B70A9F"/>
    <w:rsid w:val="00BC5CB8"/>
    <w:rsid w:val="00BF260F"/>
    <w:rsid w:val="00BF5EBB"/>
    <w:rsid w:val="00C35D21"/>
    <w:rsid w:val="00C87CD5"/>
    <w:rsid w:val="00C9388A"/>
    <w:rsid w:val="00C9770F"/>
    <w:rsid w:val="00C97AEC"/>
    <w:rsid w:val="00D36B81"/>
    <w:rsid w:val="00D441D8"/>
    <w:rsid w:val="00D52C74"/>
    <w:rsid w:val="00D67FC9"/>
    <w:rsid w:val="00D71B4C"/>
    <w:rsid w:val="00D74AEB"/>
    <w:rsid w:val="00D85764"/>
    <w:rsid w:val="00DA2B9E"/>
    <w:rsid w:val="00DD1A18"/>
    <w:rsid w:val="00DD308D"/>
    <w:rsid w:val="00E15ED8"/>
    <w:rsid w:val="00E22B02"/>
    <w:rsid w:val="00E64D25"/>
    <w:rsid w:val="00E84882"/>
    <w:rsid w:val="00EA6AD6"/>
    <w:rsid w:val="00EB6109"/>
    <w:rsid w:val="00EC1B32"/>
    <w:rsid w:val="00EC70D8"/>
    <w:rsid w:val="00ED1E3D"/>
    <w:rsid w:val="00ED7D75"/>
    <w:rsid w:val="00EE55CA"/>
    <w:rsid w:val="00EF7C37"/>
    <w:rsid w:val="00F169D3"/>
    <w:rsid w:val="00F86DD5"/>
    <w:rsid w:val="00F93E1B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9E44CC8"/>
  <w15:docId w15:val="{B8526122-122A-459E-8E2B-E54FFC60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0B4832"/>
    <w:pPr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a4">
    <w:name w:val="טקסט הערת סיום תו"/>
    <w:basedOn w:val="a0"/>
    <w:link w:val="a3"/>
    <w:semiHidden/>
    <w:rsid w:val="000B4832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semiHidden/>
    <w:rsid w:val="000B4832"/>
    <w:rPr>
      <w:vertAlign w:val="superscript"/>
    </w:rPr>
  </w:style>
  <w:style w:type="paragraph" w:styleId="a6">
    <w:name w:val="footer"/>
    <w:basedOn w:val="a"/>
    <w:link w:val="a7"/>
    <w:rsid w:val="000B483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0B483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0B4832"/>
  </w:style>
  <w:style w:type="paragraph" w:styleId="a9">
    <w:name w:val="List Paragraph"/>
    <w:basedOn w:val="a"/>
    <w:uiPriority w:val="34"/>
    <w:qFormat/>
    <w:rsid w:val="00A845BD"/>
    <w:pPr>
      <w:ind w:left="720"/>
      <w:contextualSpacing/>
    </w:pPr>
  </w:style>
  <w:style w:type="paragraph" w:styleId="aa">
    <w:name w:val="caption"/>
    <w:basedOn w:val="a"/>
    <w:next w:val="a"/>
    <w:unhideWhenUsed/>
    <w:qFormat/>
    <w:rsid w:val="005248E3"/>
    <w:pPr>
      <w:jc w:val="center"/>
    </w:pPr>
    <w:rPr>
      <w:rFonts w:cs="David"/>
      <w:b/>
      <w:bCs/>
      <w:sz w:val="28"/>
      <w:szCs w:val="28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C35D21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C35D21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35D21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uiPriority w:val="99"/>
    <w:rsid w:val="00C35D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3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56873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9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99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04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72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72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21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483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23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790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2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97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21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010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4479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5409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127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048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7639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ehil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ubcenter.org.il/wp-content/files_mf/b1employmentandincomesharedimregev2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di.org.il/books/15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edisociety.org/uploads/files/539643109917872176-eliezae-hayou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930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Tehila</cp:lastModifiedBy>
  <cp:revision>6</cp:revision>
  <dcterms:created xsi:type="dcterms:W3CDTF">2018-08-02T22:04:00Z</dcterms:created>
  <dcterms:modified xsi:type="dcterms:W3CDTF">2018-08-02T22:11:00Z</dcterms:modified>
</cp:coreProperties>
</file>